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/>
        <w:jc w:val="center"/>
        <w:rPr>
          <w:sz w:val="22"/>
          <w:szCs w:val="22"/>
        </w:rPr>
      </w:pPr>
      <w:r/>
      <w:bookmarkStart w:id="0" w:name="_GoBack"/>
      <w:bookmarkEnd w:id="0"/>
      <w:r/>
      <w:r>
        <w:rPr>
          <w:sz w:val="22"/>
          <w:szCs w:val="22"/>
        </w:rPr>
        <w:t>1</w:t>
      </w:r>
      <w:r>
        <w:rPr>
          <w:sz w:val="22"/>
          <w:szCs w:val="22"/>
        </w:rPr>
        <w:t>2. melléklet az önkormányzat 2020</w:t>
      </w:r>
      <w:r>
        <w:rPr>
          <w:sz w:val="22"/>
          <w:szCs w:val="22"/>
        </w:rPr>
        <w:t>. évi</w:t>
      </w:r>
      <w:r>
        <w:rPr>
          <w:sz w:val="22"/>
          <w:szCs w:val="22"/>
        </w:rPr>
        <w:t xml:space="preserve"> költségvetéséről szóló …../2020</w:t>
      </w:r>
      <w:r>
        <w:rPr>
          <w:sz w:val="22"/>
          <w:szCs w:val="22"/>
        </w:rPr>
        <w:t>.(…..) önkormányzati rendelethez</w:t>
      </w:r>
      <w:r>
        <w:rPr>
          <w:sz w:val="22"/>
          <w:szCs w:val="22"/>
        </w:rPr>
      </w:r>
    </w:p>
    <w:p>
      <w:pPr>
        <w:spacing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>
      <w:pPr>
        <w:spacing/>
        <w:jc w:val="center"/>
      </w:pPr>
      <w:r>
        <w:rPr>
          <w:b/>
          <w:bCs/>
          <w:sz w:val="20"/>
          <w:szCs w:val="20"/>
        </w:rPr>
        <w:t>Önkormányzati mérleg (adatok ezer Ft)</w:t>
      </w:r>
      <w:r/>
    </w:p>
    <w:tbl>
      <w:tblPr>
        <w:name w:val="Táblázat1"/>
        <w:tabOrder w:val="0"/>
        <w:jc w:val="left"/>
        <w:tblInd w:w="-8" w:type="dxa"/>
        <w:tblW w:w="14009" w:type="dxa"/>
      </w:tblPr>
      <w:tblGrid>
        <w:gridCol w:w="641"/>
        <w:gridCol w:w="4721"/>
        <w:gridCol w:w="1122"/>
        <w:gridCol w:w="982"/>
        <w:gridCol w:w="4490"/>
        <w:gridCol w:w="1033"/>
        <w:gridCol w:w="1020"/>
      </w:tblGrid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/>
            <w:r/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center"/>
            </w:pPr>
            <w:r>
              <w:rPr>
                <w:sz w:val="20"/>
                <w:szCs w:val="20"/>
              </w:rPr>
              <w:t>F</w:t>
            </w: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A. Működési költségvetés bevételei</w:t>
            </w:r>
            <w:r>
              <w:rPr>
                <w:sz w:val="20"/>
                <w:szCs w:val="20"/>
              </w:rPr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A. Működési költségvetés kiadásai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I. Önkormányzatok működési támogatása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517.404</w:t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I. Személyi juttatások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358.739</w:t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működésének általános támogat.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197.859</w:t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Foglalkoztatottak személyi juttatásai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332107</w:t>
            </w: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önkorm. egyes köznev. feladatainak támog.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92.344</w:t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Külső személyi juttatások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26.632</w:t>
            </w: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szociális és gyermekjóléti t.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221.064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Munkaadókat terhelő jár. és szoc.hjár.adó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61.226</w:t>
            </w: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Települési önkormányzatok kulturális felad. támogatása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6.137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Dologi kiadások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298.626</w:t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központosított előirányzatok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Készletbeszerzés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45.700</w:t>
            </w: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Helyi önkormányzatok kiegészítő támogatása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Kommunikációs szolgáltatások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2.780</w:t>
            </w: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Működési célú támogatások áht-n belülről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36.927</w:t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Szolgáltatási kiadások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185.325</w:t>
            </w: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widowControl w:val="0"/>
              <w:tabs defTabSz="708">
                <w:tab w:val="right" w:pos="4819" w:leader="none"/>
                <w:tab w:val="right" w:pos="56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bev. áht-n belülről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36.927</w:t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Kiküldetések, reklám-és propaganda kiadások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2.030</w:t>
            </w: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Közhatalmi bevételek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90.100</w:t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Különféle befizetések és egyéb dologi kiadások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62.791</w:t>
            </w: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Vagyoni típusú adók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16.000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Ellátottak pénzbeli juttatásai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28.531</w:t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Értékesítési és forgalmi adók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63.000</w:t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Önkormányzati települési támogatások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28.531</w:t>
            </w: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Gépjárműadók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10.000</w:t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Gyermekvédelmi természetbeni ellátások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áruhasználati és szolgáltatási adók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 Egyéb működési célú kiadások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51.200</w:t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közhatalmi bevételek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1.100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áht-n belülre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9.446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Működési bevételek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113.652</w:t>
            </w: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támogatások áht-n kívülre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22.226</w:t>
            </w: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Áru- és készletértékesítés ellenértéke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12.000</w:t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Tartalék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19.528</w:t>
            </w: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Szolgáltatások ellenértéke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14.183</w:t>
            </w: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widowControl w:val="0"/>
              <w:tabs defTabSz="708">
                <w:tab w:val="right" w:pos="4819" w:leader="none"/>
                <w:tab w:val="right" w:pos="5670" w:leader="none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VI. Finanszírozási kiadások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19.917</w:t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Tulajdonosi bevételek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Állami támogatás megelőlegezés visszafizetése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19.917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Ellátási díjak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67.365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widowControl w:val="0"/>
              <w:tabs defTabSz="708">
                <w:tab w:val="right" w:pos="4819" w:leader="none"/>
                <w:tab w:val="right" w:pos="5670" w:leader="none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A. Működési költségvetési kiadások összesen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818.239</w:t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nil" w:sz="0" w:space="0" w:color="000000" tmln="2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Kiszámlázott általános forgalmi adó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widowControl w:val="0"/>
              <w:tabs defTabSz="708">
                <w:tab w:val="right" w:pos="4819" w:leader="none"/>
                <w:tab w:val="right" w:pos="56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widowControl w:val="0"/>
              <w:tabs defTabSz="708">
                <w:tab w:val="right" w:pos="4819" w:leader="none"/>
                <w:tab w:val="right" w:pos="56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6.404</w:t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B. Felhalmozási költségvetési kiadások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bevételek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widowControl w:val="0"/>
              <w:tabs defTabSz="708">
                <w:tab w:val="right" w:pos="4819" w:leader="none"/>
                <w:tab w:val="right" w:pos="5670" w:leader="none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13.700</w:t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VII. Felhalmozási kiadások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 Működési célú átvett pénzeszközök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60.156</w:t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Beruházások, Felújítások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Maradvány felhasználás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60.156</w:t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VIII. Egyéb felhalmozási célú kiadások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10.000</w:t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</w:t>
            </w: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A. Működési költségvetési bevételek összesen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818.239</w:t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Felhalmozási célú kölcsönök nyújtása áht-n kívülre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</w:pPr>
            <w:r>
              <w:rPr>
                <w:sz w:val="20"/>
                <w:szCs w:val="20"/>
              </w:rPr>
              <w:t>10.000</w:t>
            </w:r>
            <w:r/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B. Felhalmozási költségvetés bevételei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B. Felhalmozási költségvetési kiadások összesen</w:t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10.000</w:t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VI. Felhalmozási célú támogatások áht-n belülről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A+B összesen</w:t>
            </w: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sz w:val="20"/>
                <w:szCs w:val="20"/>
              </w:rPr>
              <w:t>828.239</w:t>
            </w:r>
            <w:r>
              <w:rPr>
                <w:b/>
                <w:bCs/>
                <w:i/>
                <w:iCs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támog. bevételei áht-n bel.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VII. Felhalmozási célú átvett pénzeszközök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10.000</w:t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Felhalmozási célú támogatások visszatérülése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7.000</w:t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átvett pénzeszközök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i/>
                <w:iCs/>
              </w:rPr>
            </w:pPr>
            <w:r>
              <w:rPr>
                <w:sz w:val="20"/>
                <w:szCs w:val="20"/>
              </w:rPr>
              <w:t>3.000</w:t>
            </w:r>
            <w:r>
              <w:rPr>
                <w:b/>
                <w:bCs/>
                <w:i/>
                <w:iCs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B. Felhalmozási költségvetési bevételek összesen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10.000</w:t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</w:tr>
      <w:tr>
        <w:trPr>
          <w:tblHeader w:val="0"/>
          <w:cantSplit w:val="0"/>
          <w:trHeight w:val="0" w:hRule="auto"/>
        </w:trPr>
        <w:tc>
          <w:tcPr>
            <w:tcW w:w="64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34</w:t>
            </w:r>
            <w:r>
              <w:rPr>
                <w:b/>
                <w:bCs/>
              </w:rPr>
            </w:r>
          </w:p>
        </w:tc>
        <w:tc>
          <w:tcPr>
            <w:tcW w:w="4721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A+B összesen</w:t>
            </w:r>
          </w:p>
        </w:tc>
        <w:tc>
          <w:tcPr>
            <w:tcW w:w="112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828.239</w:t>
            </w:r>
          </w:p>
        </w:tc>
        <w:tc>
          <w:tcPr>
            <w:tcW w:w="982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449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  <w:tc>
          <w:tcPr>
            <w:tcW w:w="1033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nil" w:sz="0" w:space="0" w:color="000000" tmln="2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</w:r>
          </w:p>
        </w:tc>
        <w:tc>
          <w:tcPr>
            <w:tcW w:w="1020" w:type="dxa"/>
            <w:shd w:val="none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  <w:tl2br w:val="nil" w:sz="0" w:space="0" w:color="000000" tmln="20, 20, 20, 0, 0"/>
              <w:tr2bl w:val="nil" w:sz="0" w:space="0" w:color="000000" tmln="20, 20, 20, 0, 0"/>
            </w:tcBorders>
            <w:tmTcPr id="1582213541" protected="0"/>
          </w:tcPr>
          <w:p>
            <w:pPr>
              <w:spacing/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</w:r>
          </w:p>
        </w:tc>
      </w:tr>
    </w:tbl>
    <w:p>
      <w:pPr>
        <w:rPr>
          <w:sz w:val="20"/>
          <w:szCs w:val="20"/>
        </w:rPr>
      </w:pPr>
      <w:r>
        <w:rPr>
          <w:sz w:val="20"/>
          <w:szCs w:val="20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1906" w:w="16838" w:orient="landscape"/>
      <w:pgMar w:left="1418" w:top="450" w:right="1418" w:bottom="1406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ambria">
    <w:panose1 w:val="02040503050406030204"/>
    <w:charset w:val="ee"/>
    <w:family w:val="roman"/>
    <w:pitch w:val="default"/>
  </w:font>
  <w:font w:name="Calibri">
    <w:panose1 w:val="020F0502020204030204"/>
    <w:charset w:val="ee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Táblázat" w:pos="below" w:numFmt="decimal"/>
    <w:caption w:name="Ábra" w:pos="below" w:numFmt="decimal"/>
    <w:caption w:name="Kép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compatSetting w:name="compatibilityMode" w:uri="http://schemas.microsoft.com/office/word" w:val="15"/>
  <w:shapeDefaults>
    <o:shapedefaults v:ext="edit" spidmax="1026"/>
    <o:shapelayout v:ext="edit">
      <o:rules v:ext="edit"/>
    </o:shapelayout>
  </w:shapeDefaults>
  <w:tmPrefOne w:val="17"/>
  <w:tmPrefTwo w:val="1"/>
  <w:tmFmtPref w:val="55065707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241"/>
    <w:tmLastPosCaret>
      <w:tmLastPosPgfIdx w:val="0"/>
      <w:tmLastPosIdx w:val="4"/>
    </w:tmLastPosCaret>
    <w:tmLastPosAnchor>
      <w:tmLastPosPgfIdx w:val="0"/>
      <w:tmLastPosIdx w:val="0"/>
    </w:tmLastPosAnchor>
    <w:tmLastPosTblRect w:left="0" w:top="0" w:right="0" w:bottom="0"/>
  </w:tmLastPos>
  <w:tmAppRevision w:date="1582213541" w:val="973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sz w:val="22"/>
        <w:szCs w:val="22"/>
        <w:lang w:val="hu-hu" w:eastAsia="zh-cn" w:bidi="ar-sa"/>
      </w:rPr>
    </w:rPrDefault>
    <w:pPrDefault>
      <w:pPr>
        <w:suppressAutoHyphens/>
        <w:hyphenationLines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sz w:val="24"/>
      <w:szCs w:val="24"/>
      <w:lang w:eastAsia="zh-cn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Arial" w:hAnsi="Arial" w:cs="Arial"/>
      <w:sz w:val="28"/>
      <w:szCs w:val="28"/>
    </w:rPr>
  </w:style>
  <w:style w:type="paragraph" w:styleId="para2">
    <w:name w:val="Body Text"/>
    <w:qFormat/>
    <w:basedOn w:val="para0"/>
    <w:pPr>
      <w:spacing w:after="120"/>
    </w:pPr>
  </w:style>
  <w:style w:type="paragraph" w:styleId="para3">
    <w:name w:val="List"/>
    <w:qFormat/>
    <w:basedOn w:val="para2"/>
  </w:style>
  <w:style w:type="paragraph" w:styleId="para4">
    <w:name w:val="caption"/>
    <w:qFormat/>
    <w:basedOn w:val="para0"/>
    <w:pPr>
      <w:spacing w:before="120" w:after="120"/>
      <w:suppressLineNumbers/>
    </w:pPr>
    <w:rPr>
      <w:i/>
      <w:iCs/>
    </w:rPr>
  </w:style>
  <w:style w:type="paragraph" w:styleId="para5" w:customStyle="1">
    <w:name w:val="Tárgymutató"/>
    <w:qFormat/>
    <w:basedOn w:val="para0"/>
    <w:pPr>
      <w:suppressLineNumbers/>
    </w:pPr>
  </w:style>
  <w:style w:type="paragraph" w:styleId="para6" w:customStyle="1">
    <w:name w:val="Táblázattartalom"/>
    <w:qFormat/>
    <w:basedOn w:val="para0"/>
    <w:pPr>
      <w:suppressLineNumbers/>
    </w:pPr>
  </w:style>
  <w:style w:type="paragraph" w:styleId="para7" w:customStyle="1">
    <w:name w:val="Táblázatfejléc"/>
    <w:qFormat/>
    <w:basedOn w:val="para6"/>
    <w:pPr>
      <w:spacing/>
      <w:jc w:val="center"/>
    </w:pPr>
    <w:rPr>
      <w:b/>
      <w:bCs/>
    </w:rPr>
  </w:style>
  <w:style w:type="character" w:styleId="char0" w:default="1">
    <w:name w:val="Default Paragraph Font"/>
  </w:style>
  <w:style w:type="character" w:styleId="char1" w:customStyle="1">
    <w:name w:val="Body Text Char"/>
    <w:basedOn w:val="char0"/>
    <w:rPr>
      <w:sz w:val="24"/>
      <w:szCs w:val="24"/>
      <w:noProof w:val="1"/>
      <w:lang w:eastAsia="zh-cn"/>
    </w:rPr>
  </w:style>
  <w:style w:type="character" w:styleId="char2" w:customStyle="1">
    <w:name w:val="Bekezdés alap-betűtípusa"/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Times New Roman" w:cs="Times New Roman"/>
        <w:sz w:val="22"/>
        <w:szCs w:val="22"/>
        <w:lang w:val="hu-hu" w:eastAsia="zh-cn" w:bidi="ar-sa"/>
      </w:rPr>
    </w:rPrDefault>
    <w:pPrDefault>
      <w:pPr>
        <w:suppressAutoHyphens/>
        <w:hyphenationLines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sz w:val="24"/>
      <w:szCs w:val="24"/>
      <w:lang w:eastAsia="zh-cn"/>
    </w:rPr>
  </w:style>
  <w:style w:type="paragraph" w:styleId="para1" w:customStyle="1">
    <w:name w:val="Címsor"/>
    <w:qFormat/>
    <w:basedOn w:val="para0"/>
    <w:next w:val="para2"/>
    <w:pPr>
      <w:spacing w:before="240" w:after="120"/>
      <w:keepNext/>
    </w:pPr>
    <w:rPr>
      <w:rFonts w:ascii="Arial" w:hAnsi="Arial" w:cs="Arial"/>
      <w:sz w:val="28"/>
      <w:szCs w:val="28"/>
    </w:rPr>
  </w:style>
  <w:style w:type="paragraph" w:styleId="para2">
    <w:name w:val="Body Text"/>
    <w:qFormat/>
    <w:basedOn w:val="para0"/>
    <w:pPr>
      <w:spacing w:after="120"/>
    </w:pPr>
  </w:style>
  <w:style w:type="paragraph" w:styleId="para3">
    <w:name w:val="List"/>
    <w:qFormat/>
    <w:basedOn w:val="para2"/>
  </w:style>
  <w:style w:type="paragraph" w:styleId="para4">
    <w:name w:val="caption"/>
    <w:qFormat/>
    <w:basedOn w:val="para0"/>
    <w:pPr>
      <w:spacing w:before="120" w:after="120"/>
      <w:suppressLineNumbers/>
    </w:pPr>
    <w:rPr>
      <w:i/>
      <w:iCs/>
    </w:rPr>
  </w:style>
  <w:style w:type="paragraph" w:styleId="para5" w:customStyle="1">
    <w:name w:val="Tárgymutató"/>
    <w:qFormat/>
    <w:basedOn w:val="para0"/>
    <w:pPr>
      <w:suppressLineNumbers/>
    </w:pPr>
  </w:style>
  <w:style w:type="paragraph" w:styleId="para6" w:customStyle="1">
    <w:name w:val="Táblázattartalom"/>
    <w:qFormat/>
    <w:basedOn w:val="para0"/>
    <w:pPr>
      <w:suppressLineNumbers/>
    </w:pPr>
  </w:style>
  <w:style w:type="paragraph" w:styleId="para7" w:customStyle="1">
    <w:name w:val="Táblázatfejléc"/>
    <w:qFormat/>
    <w:basedOn w:val="para6"/>
    <w:pPr>
      <w:spacing/>
      <w:jc w:val="center"/>
    </w:pPr>
    <w:rPr>
      <w:b/>
      <w:bCs/>
    </w:rPr>
  </w:style>
  <w:style w:type="character" w:styleId="char0" w:default="1">
    <w:name w:val="Default Paragraph Font"/>
  </w:style>
  <w:style w:type="character" w:styleId="char1" w:customStyle="1">
    <w:name w:val="Body Text Char"/>
    <w:basedOn w:val="char0"/>
    <w:rPr>
      <w:sz w:val="24"/>
      <w:szCs w:val="24"/>
      <w:noProof w:val="1"/>
      <w:lang w:eastAsia="zh-cn"/>
    </w:rPr>
  </w:style>
  <w:style w:type="character" w:styleId="char2" w:customStyle="1">
    <w:name w:val="Bekezdés alap-betűtípusa"/>
  </w:style>
  <w:style w:type="table" w:default="1" w:styleId="TableNormal">
    <w:name w:val="Normál táblázat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rev.973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9/1</dc:title>
  <dc:subject/>
  <dc:creator>User</dc:creator>
  <cp:keywords/>
  <dc:description/>
  <cp:lastModifiedBy/>
  <cp:revision>5</cp:revision>
  <cp:lastPrinted>2019-02-22T12:41:00Z</cp:lastPrinted>
  <dcterms:created xsi:type="dcterms:W3CDTF">2020-02-13T07:45:00Z</dcterms:created>
  <dcterms:modified xsi:type="dcterms:W3CDTF">2020-02-20T15:45:41Z</dcterms:modified>
</cp:coreProperties>
</file>