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2258" w:rsidRDefault="00EA2258">
      <w:pPr>
        <w:rPr>
          <w:b/>
          <w:bCs/>
        </w:rPr>
      </w:pPr>
      <w:bookmarkStart w:id="0" w:name="_GoBack"/>
      <w:bookmarkEnd w:id="0"/>
      <w:r>
        <w:rPr>
          <w:b/>
          <w:bCs/>
        </w:rPr>
        <w:t>Csorvás Város Polgármesterétől</w:t>
      </w:r>
    </w:p>
    <w:p w:rsidR="00EA2258" w:rsidRDefault="00EA2258">
      <w:pPr>
        <w:rPr>
          <w:b/>
          <w:bCs/>
        </w:rPr>
      </w:pPr>
      <w:r>
        <w:rPr>
          <w:b/>
          <w:bCs/>
        </w:rPr>
        <w:t>5920 Csorvás, Rákóczi u. 17. Tel.: 66/258-016</w:t>
      </w:r>
    </w:p>
    <w:p w:rsidR="00EA2258" w:rsidRDefault="00EA2258"/>
    <w:p w:rsidR="00EA2258" w:rsidRDefault="00EA2258"/>
    <w:p w:rsidR="00EA2258" w:rsidRDefault="00EA2258"/>
    <w:p w:rsidR="00EA2258" w:rsidRDefault="00EA2258">
      <w:pPr>
        <w:jc w:val="center"/>
        <w:rPr>
          <w:b/>
          <w:bCs/>
        </w:rPr>
      </w:pPr>
      <w:r>
        <w:rPr>
          <w:b/>
          <w:bCs/>
        </w:rPr>
        <w:t>ELŐTERJESZTÉS</w:t>
      </w:r>
    </w:p>
    <w:p w:rsidR="00EA2258" w:rsidRDefault="00EA2258">
      <w:pPr>
        <w:jc w:val="center"/>
        <w:rPr>
          <w:b/>
          <w:bCs/>
        </w:rPr>
      </w:pPr>
    </w:p>
    <w:p w:rsidR="00EA2258" w:rsidRDefault="00EA2258">
      <w:pPr>
        <w:jc w:val="center"/>
      </w:pPr>
    </w:p>
    <w:p w:rsidR="00EA2258" w:rsidRDefault="00EA2258">
      <w:pPr>
        <w:jc w:val="center"/>
      </w:pPr>
      <w:r>
        <w:t>Csorvás Város Önkormányzata Képviselő-testületéhez</w:t>
      </w:r>
    </w:p>
    <w:p w:rsidR="00EA2258" w:rsidRDefault="00EA2258"/>
    <w:p w:rsidR="00EA2258" w:rsidRDefault="00EA2258">
      <w:pPr>
        <w:jc w:val="center"/>
      </w:pPr>
      <w:r>
        <w:t>az önkormányzat 2020. évi költségvetéséről szóló</w:t>
      </w:r>
    </w:p>
    <w:p w:rsidR="00EA2258" w:rsidRDefault="00EA2258">
      <w:pPr>
        <w:jc w:val="center"/>
      </w:pPr>
      <w:r>
        <w:t>rendelet megalkotásához</w:t>
      </w:r>
    </w:p>
    <w:p w:rsidR="00EA2258" w:rsidRDefault="00EA2258">
      <w:pPr>
        <w:jc w:val="center"/>
      </w:pPr>
    </w:p>
    <w:p w:rsidR="00EA2258" w:rsidRDefault="00EA2258"/>
    <w:p w:rsidR="00EA2258" w:rsidRDefault="00EA2258"/>
    <w:p w:rsidR="00EA2258" w:rsidRDefault="00EA2258"/>
    <w:p w:rsidR="00EA2258" w:rsidRDefault="00EA2258">
      <w:r>
        <w:t>Tisztelt Képviselő-testület!</w:t>
      </w:r>
    </w:p>
    <w:p w:rsidR="00EA2258" w:rsidRDefault="00EA2258">
      <w:r>
        <w:t xml:space="preserve"> </w:t>
      </w:r>
    </w:p>
    <w:p w:rsidR="00EA2258" w:rsidRDefault="00EA2258"/>
    <w:p w:rsidR="00EA2258" w:rsidRDefault="00EA2258">
      <w:pPr>
        <w:jc w:val="both"/>
      </w:pPr>
      <w:r>
        <w:t>Az államháztartásról szóló 2011. évi CXCV. törvény (a továbbiakban: Áht.) 23. és 24. §-a, valamint az államháztartásról szóló törvény végrehajtásáról szóló 368/2011. (XII.31.) Korm. rendelet (a továbbiakban: Ávr.) 24., 27. és 28. §-ai tartalmazzák a helyi önkormányzatok költségvetésének elkészítésére, annak tartalmára és elfogadásának rendjére vonatkozó szabályokat.</w:t>
      </w:r>
    </w:p>
    <w:p w:rsidR="00EA2258" w:rsidRDefault="00EA2258">
      <w:pPr>
        <w:jc w:val="both"/>
      </w:pPr>
    </w:p>
    <w:p w:rsidR="00EA2258" w:rsidRDefault="00EA2258">
      <w:pPr>
        <w:jc w:val="both"/>
      </w:pPr>
      <w:r>
        <w:t>A fenti jogszabályi előírások alapján az önkormányzat a költségvetését önkormányzati rendeletben állapítja meg, mely tartalmazza a bevételeket és a kiadásokat működési és felhalmozási előirányzatok, kiemelt előirányzatok, valamint kötelező, önként vállalt és államigazgatási feladatok szerinti bontásban. A költségvetésről szóló önkormányzati rendeletben be kell mutatni a költségvetési egyenleg összegét működési és felhalmozási cél szerinti megosztásban, valamint a hiány finanszírozására szolgáló finanszírozási bevételeket.</w:t>
      </w:r>
    </w:p>
    <w:p w:rsidR="00EA2258" w:rsidRDefault="00EA2258">
      <w:pPr>
        <w:jc w:val="both"/>
      </w:pPr>
    </w:p>
    <w:p w:rsidR="00EA2258" w:rsidRDefault="00EA2258">
      <w:pPr>
        <w:jc w:val="both"/>
      </w:pPr>
      <w:r>
        <w:t>Az Ávr. előírásai szerint elkülönítetten is be kell mutatni a költségvetésben a helyi önkormányzat nevében végzett beruházások, felújítások kiadásait beruházásonként és felújításonként.</w:t>
      </w:r>
    </w:p>
    <w:p w:rsidR="00EA2258" w:rsidRDefault="00EA2258">
      <w:pPr>
        <w:jc w:val="both"/>
      </w:pPr>
      <w:r>
        <w:t>Az önkormányzati költségvetési rendeletben elkülönülnek egymástól az önkormányzat, valamint az önkormányzat által irányított költségvetési szervek költségvetési bevételei és kiadásai.</w:t>
      </w:r>
    </w:p>
    <w:p w:rsidR="00EA2258" w:rsidRDefault="00EA2258">
      <w:pPr>
        <w:jc w:val="both"/>
      </w:pPr>
    </w:p>
    <w:p w:rsidR="00EA2258" w:rsidRDefault="00EA2258">
      <w:pPr>
        <w:jc w:val="both"/>
      </w:pPr>
      <w:r>
        <w:t>A fentieket figyelembe véve beterjesztem a Tisztelt Képviselő-testület elé Csorvás Város Önkormányzata 2020. évi költségvetéséről szóló rendelet-tervezetét.</w:t>
      </w:r>
    </w:p>
    <w:p w:rsidR="00EA2258" w:rsidRDefault="00EA2258">
      <w:pPr>
        <w:spacing w:before="120"/>
        <w:jc w:val="both"/>
      </w:pPr>
      <w:r>
        <w:t>Az Önkormányzat 2020. évi költségvetése előkészítésénél bemutattuk, hogy Önkormányzatunk milyen jogcímen és milyen összegben kap központi támogatást. Akkor még nem volt ismert az intézmény-üzemeltetési támogatásoknak az összege, melyek a következők:</w:t>
      </w:r>
    </w:p>
    <w:p w:rsidR="00EA2258" w:rsidRDefault="00EA2258">
      <w:pPr>
        <w:numPr>
          <w:ilvl w:val="0"/>
          <w:numId w:val="1"/>
        </w:numPr>
        <w:tabs>
          <w:tab w:val="left" w:pos="720"/>
        </w:tabs>
        <w:spacing w:before="120"/>
        <w:ind w:left="720" w:hanging="360"/>
        <w:jc w:val="both"/>
      </w:pPr>
      <w:r>
        <w:t>települési önkormányzatok által biztosított egyes szociális szakosított ellátásokkal kapcsolatos feladatok támogatása;</w:t>
      </w:r>
    </w:p>
    <w:p w:rsidR="00EA2258" w:rsidRDefault="00EA2258">
      <w:pPr>
        <w:numPr>
          <w:ilvl w:val="0"/>
          <w:numId w:val="1"/>
        </w:numPr>
        <w:tabs>
          <w:tab w:val="left" w:pos="720"/>
        </w:tabs>
        <w:spacing w:before="120"/>
        <w:ind w:left="720" w:hanging="360"/>
        <w:jc w:val="both"/>
      </w:pPr>
      <w:r>
        <w:t>a gyermekétkeztetés üzemeltetési támogatása;</w:t>
      </w:r>
    </w:p>
    <w:p w:rsidR="00EA2258" w:rsidRDefault="00EA2258">
      <w:pPr>
        <w:numPr>
          <w:ilvl w:val="0"/>
          <w:numId w:val="1"/>
        </w:numPr>
        <w:tabs>
          <w:tab w:val="left" w:pos="720"/>
        </w:tabs>
        <w:spacing w:before="120"/>
        <w:ind w:left="720" w:hanging="360"/>
        <w:jc w:val="both"/>
      </w:pPr>
      <w:r>
        <w:t>a bölcsődei üzemeltetési támogatás.</w:t>
      </w:r>
    </w:p>
    <w:p w:rsidR="00EA2258" w:rsidRDefault="00EA2258">
      <w:pPr>
        <w:spacing w:before="120"/>
        <w:jc w:val="both"/>
      </w:pPr>
      <w:r>
        <w:t>Most már teljes körűen be tudjuk mutatni az Önkormányzatunknak ténylegesen járó központi támogatásokat, amelyek kimutatását az előterjesztés 1. melléklete tartalmazza.</w:t>
      </w:r>
    </w:p>
    <w:p w:rsidR="00EA2258" w:rsidRDefault="00EA2258">
      <w:pPr>
        <w:spacing w:before="120"/>
        <w:jc w:val="both"/>
      </w:pPr>
      <w:r>
        <w:t xml:space="preserve">Az előterjesztés 2. mellékletében összehasonlítjuk, hogy 2019-ben és 2020-ban melyik feladat ellátására, milyen összegű központi támogatást kapott, illetve fog kapni Önkormányzatunk. </w:t>
      </w:r>
    </w:p>
    <w:p w:rsidR="00EA2258" w:rsidRDefault="00EA2258">
      <w:pPr>
        <w:spacing w:before="120"/>
        <w:jc w:val="both"/>
      </w:pPr>
      <w:r>
        <w:t>Az előterjesztés 3. mellékletében a központi támogatásokat megosztottuk az adott feladatot ellátók között, vagyis az Önkormányzat és az Önkormányzat irányítása alá tartozó intézmények között.</w:t>
      </w:r>
    </w:p>
    <w:p w:rsidR="00EA2258" w:rsidRDefault="00EA2258" w:rsidP="001B2BEA">
      <w:pPr>
        <w:spacing w:before="120"/>
        <w:jc w:val="both"/>
      </w:pPr>
      <w:r>
        <w:t xml:space="preserve">A települési önkormányzatok működésének általános támogatása közel 28,5 millió Ft-os növekedést mutat. </w:t>
      </w:r>
    </w:p>
    <w:p w:rsidR="00EA2258" w:rsidRDefault="00EA2258" w:rsidP="001B2BEA">
      <w:pPr>
        <w:spacing w:before="120"/>
        <w:jc w:val="both"/>
      </w:pPr>
      <w:r>
        <w:t>Ezen belül a polgármesteri hivatal működésének támogatását az elismert hivatali létszám alapján kapja Önkormányzatunk. Ebben az évben a fajlagos összeg emelkedett 5.450.000,- Ft/fő/év összegre (4.580.000,- Ft/fő/év összeg volt), viszont a 2020. évi mutatószám felmérés eredmény mellékletében a központi támogatás összege nem változott, ezért a polgármesteri hivatal működését a beszámítás összegéből tudja az Önkormányzat biztosítani, amelyet az Önkormányzat adóerőképessége alapján számítanak ki. A költségvetési törvényben szereplő képlet alapján – ami az elismert hivatali létszám meghatározására szolgál – kiszámítottuk, hogy 18,8 fő lehet a támogatott hivatali létszám. Az előterjesztés készítése közben a Magyar Államkincstár tájékoztatta Önkormányzatunkat, hogy egy kiegészítő felmérés alapján - többek között a polgármesteri hivatal működésének támogatására, az eddig is elismert hivatali létszám (18,8 fő) szerint került kiszámításra az Önkormányzatnak járó központi támogatás összege, 102.351.000,- Ft, illetve a beszámításból erre a feladatra fordítandó összeg, 24.603.146,- Ft.</w:t>
      </w:r>
    </w:p>
    <w:p w:rsidR="00EA2258" w:rsidRDefault="00EA2258">
      <w:pPr>
        <w:spacing w:before="120"/>
        <w:jc w:val="both"/>
      </w:pPr>
      <w:r>
        <w:t>A fentiekben említett beszámítás összege  közel 7 millió Ft-tal, a település-üzemeltetés támogatása 6 millió Ft-tal magasabb, mint az előző évben. A település-üzemeltetés magába foglalja a zöldterület-, a közvilágítás-, a közút-, és a köztemető</w:t>
      </w:r>
      <w:r w:rsidRPr="00DE6310">
        <w:t xml:space="preserve"> </w:t>
      </w:r>
      <w:r>
        <w:t>fenntartással kapcsolatos feladatokat. A köztemető fenntartással kapcsolatos feladatok ellátására közel 5 millió Ft-tal kap több támogatást Önkormányzatunk. A fentiek kimutatását az előterjesztés 2. melléklete részletesen tartalmazza.</w:t>
      </w:r>
    </w:p>
    <w:p w:rsidR="00EA2258" w:rsidRDefault="00EA2258">
      <w:pPr>
        <w:spacing w:before="120"/>
        <w:jc w:val="both"/>
      </w:pPr>
      <w:r>
        <w:t>A települési önkormányzatok köznevelési feladatainak támogatása 2,2 millió Ft-os növekedést mutat. A növekedés az óvodaműködtetési támogatásnál tapasztalható.</w:t>
      </w:r>
    </w:p>
    <w:p w:rsidR="00EA2258" w:rsidRDefault="00EA2258">
      <w:pPr>
        <w:spacing w:before="120"/>
        <w:jc w:val="both"/>
      </w:pPr>
      <w:r>
        <w:t xml:space="preserve">A települési önkormányzatok szociális feladatainak egyéb támogatása jogcímen 1.467 ezer Ft-tal kapunk ebben az évben többet, mint az elmúlt évben. Továbbra is csak a szociális rendeletünk alapján kifizetett támogatások összege számolható el itt, illetve a közfoglalkoztatás keretében az Önkormányzatnak azok a közfoglalkoztatással kapcsolatos kiadásai, amelyek e körben merülnek fel. </w:t>
      </w:r>
    </w:p>
    <w:p w:rsidR="00EA2258" w:rsidRDefault="00EA2258">
      <w:pPr>
        <w:spacing w:before="120"/>
        <w:jc w:val="both"/>
      </w:pPr>
      <w:r>
        <w:t>A települési önkormányzatok szociális, gyermekjóléti és gyermekétkeztetési feladatainak támogatása jogcímen 31,3 millió Ft-tal kapunk több támogatást, mint tavaly. A növekedés összegeinek részletes kimutatását az előterjesztés 2. melléklete tartalmazza.</w:t>
      </w:r>
    </w:p>
    <w:p w:rsidR="00EA2258" w:rsidRDefault="00EA2258">
      <w:pPr>
        <w:spacing w:before="120"/>
        <w:jc w:val="both"/>
      </w:pPr>
      <w:r>
        <w:t xml:space="preserve">A települési önkormányzatok kulturális feladatainak támogatása minimális összegű növekedést mutat az előző évihez képest. Ez a támogatási jogcím lakosságszám szerint jár az önkormányzatoknak. </w:t>
      </w:r>
    </w:p>
    <w:p w:rsidR="00EA2258" w:rsidRDefault="00EA2258">
      <w:pPr>
        <w:jc w:val="both"/>
      </w:pPr>
    </w:p>
    <w:p w:rsidR="00EA2258" w:rsidRDefault="00EA2258">
      <w:pPr>
        <w:jc w:val="both"/>
      </w:pPr>
      <w:r>
        <w:t xml:space="preserve">Alapelvként rögzíthető, hogy az önkormányzat kötelező feladatainak ellátását a központi költségvetésnek a feladat ellátásához szükséges teljes mértékben finanszíroznia kellene. Tény azonban, hogy az önkormányzatoknak saját forrással is ki kell egészíteniük a kötelező feladatokat ellátó intézményeik költségvetését, hogy azok egész éves működése biztosított legyen. Melyek azok az önkormányzati kötelező feladatok, amelyek ellátásához Önkormányzatunk nem kapja meg a szükséges teljes mértékű finanszírozást? A következők: </w:t>
      </w:r>
    </w:p>
    <w:p w:rsidR="00EA2258" w:rsidRDefault="00EA2258">
      <w:pPr>
        <w:jc w:val="both"/>
      </w:pPr>
    </w:p>
    <w:p w:rsidR="00EA2258" w:rsidRDefault="00EA2258" w:rsidP="00923A76">
      <w:pPr>
        <w:numPr>
          <w:ilvl w:val="0"/>
          <w:numId w:val="2"/>
        </w:numPr>
        <w:tabs>
          <w:tab w:val="left" w:pos="720"/>
        </w:tabs>
        <w:ind w:left="720" w:hanging="360"/>
        <w:jc w:val="both"/>
      </w:pPr>
      <w:r>
        <w:t>Az Orosházi Kistérség Többcélú Társulás (a továbbiakban: Társulás) által ellátott feladatok közül a munkaszervezeti feladatokra (13,- Ft/lakosságszám/hó), a központi orvosi ügyelet finanszírozására (50,- Ft/lakosságszám/hó) 2020. évre ugyanakkora fajlagos összegű forrást kell biztosítanunk, mint 2019-ben, csak a lakosságszám csökkenése miatt kell kevesebbet fizetnünk az ellátásért. A család- és gyermekjóléti feladatokra fizetendő támogatás az eddigi 52,- Ft/lakosságszám/hó fajlagos összegről, 64,- Ft/lakosságszám/hó fajlagos összegre emelkedett. A Társulás a jelzőrendszeres házi segítségnyújtást eddig a kapott központi támogatásból finanszírozta. Ettől az évtől Csorvás lakosságszámát figyelembe véve 470.976,- Ft/év összeget kell ehhez a feladatellátáshoz biztosítanunk.</w:t>
      </w:r>
    </w:p>
    <w:p w:rsidR="00EA2258" w:rsidRDefault="00EA2258" w:rsidP="00D82434">
      <w:pPr>
        <w:numPr>
          <w:ilvl w:val="0"/>
          <w:numId w:val="2"/>
        </w:numPr>
        <w:tabs>
          <w:tab w:val="left" w:pos="720"/>
        </w:tabs>
        <w:spacing w:before="120"/>
        <w:ind w:left="714" w:hanging="357"/>
        <w:jc w:val="both"/>
      </w:pPr>
      <w:r>
        <w:t>A Csorvási Polgármesteri Hivatal az önkormányzat és a saját gazdálkodási feladatain felül két nemzetiségi önkormányzat, és két intézmény gazdálkodási feladatait is ellátja, a jelenlegi költségvetési rendszer azonban nem nyújt központi költségvetési támogatást a funkcionális feladatot ellátó létszám biztosításához.</w:t>
      </w:r>
    </w:p>
    <w:p w:rsidR="00EA2258" w:rsidRDefault="00EA2258">
      <w:pPr>
        <w:jc w:val="both"/>
      </w:pPr>
    </w:p>
    <w:p w:rsidR="00EA2258" w:rsidRDefault="00EA2258">
      <w:pPr>
        <w:jc w:val="both"/>
      </w:pPr>
      <w:r>
        <w:t xml:space="preserve">A feladatfinanszírozással kapcsolatosan egyébként is több ellentmondás van. Például: a közvilágítás támogatása a településen kiépített kisfeszültségű vezeték hosszától függ. Ez hátrányos azokra a településekre – Csorvásra is –, ahol több kilométer nem önkormányzati kezelésű út van kiemelt világítással, gyalogátkelőhelyekkel. </w:t>
      </w:r>
    </w:p>
    <w:p w:rsidR="00EA2258" w:rsidRDefault="00EA2258">
      <w:pPr>
        <w:jc w:val="both"/>
      </w:pPr>
      <w:r>
        <w:t>Ezzel szemben a belterületi utak finanszírozása nem az úthálózat hosszának függvénye, hanem a településkategóriára számított nettó kiadások figyelembevételével történik.</w:t>
      </w:r>
    </w:p>
    <w:p w:rsidR="00EA2258" w:rsidRDefault="00EA2258">
      <w:pPr>
        <w:jc w:val="both"/>
      </w:pPr>
    </w:p>
    <w:p w:rsidR="00EA2258" w:rsidRDefault="00EA2258">
      <w:pPr>
        <w:jc w:val="both"/>
      </w:pPr>
      <w:r>
        <w:t>A költségvetési tervezés legbizonytalanabb területe általában a szociális, a gyermekjóléti és a gyermekétkeztetési feladatok ellátása, tekintettel arra, hogy a szociális ellátórendszer jelentősen átalakult. Az önkormányzatok szabad kezet kapnak, saját hatáskörben dönthetnek a településen biztosított segélyezés formájáról, nagyságáról. A 2020-ban rendelkezésre álló keretből kell, hogy biztosítsuk továbbra is a rászoruló 70 éven felülieknek a kötelező szemétszállítási szolgáltatást, illetve a tűzifa támogatást is.</w:t>
      </w:r>
    </w:p>
    <w:p w:rsidR="00EA2258" w:rsidRDefault="00EA2258">
      <w:pPr>
        <w:jc w:val="both"/>
      </w:pPr>
    </w:p>
    <w:p w:rsidR="00EA2258" w:rsidRDefault="00EA2258">
      <w:pPr>
        <w:jc w:val="both"/>
      </w:pPr>
      <w:r>
        <w:t>A gyermekétkeztetés költségei növekedést mutatnak, mivel egyre több az olyan gyermek és tanuló, akinek ingyenesen kell biztosítanunk a gyermekétkeztetést. A képviselő-testület a hatáskörébe tartozó bevételnövelési lehetőséggel - az élelmezési nyersanyag-norma emelésével - erre az évre vonatkozón is élt.</w:t>
      </w:r>
    </w:p>
    <w:p w:rsidR="00EA2258" w:rsidRDefault="00EA2258">
      <w:pPr>
        <w:jc w:val="both"/>
      </w:pPr>
    </w:p>
    <w:p w:rsidR="00EA2258" w:rsidRDefault="00EA2258">
      <w:pPr>
        <w:jc w:val="both"/>
      </w:pPr>
      <w:r>
        <w:t>Az eddigi vázlatos felsorolásból is látszik, hogy bár a feladatalapú finanszírozási rendszer a fennállása óta eltelt idő alatt többször is módosult, még jelenleg sem tölti be maradéktalanul a funkcióját, azaz, a kötelező feladatellátás teljes finanszírozását.</w:t>
      </w:r>
    </w:p>
    <w:p w:rsidR="00EA2258" w:rsidRDefault="00EA2258">
      <w:pPr>
        <w:jc w:val="both"/>
      </w:pPr>
    </w:p>
    <w:p w:rsidR="00EA2258" w:rsidRDefault="00EA2258" w:rsidP="00D82434">
      <w:pPr>
        <w:jc w:val="both"/>
      </w:pPr>
      <w:r>
        <w:t>Ennek ellenére, a költségvetési rendelet-tervezet összeállításánál igyekeztünk követni a képviselő-testület 2019. novemberi ülésén kapott iránymutatásokat.</w:t>
      </w:r>
    </w:p>
    <w:p w:rsidR="00EA2258" w:rsidRDefault="00EA2258">
      <w:pPr>
        <w:spacing w:after="120"/>
        <w:jc w:val="both"/>
      </w:pPr>
      <w:r>
        <w:tab/>
        <w:t>- Lakásvásárlási támogatásra 10 millió forintot,</w:t>
      </w:r>
    </w:p>
    <w:p w:rsidR="00EA2258" w:rsidRDefault="00EA2258">
      <w:pPr>
        <w:spacing w:after="120"/>
        <w:jc w:val="both"/>
      </w:pPr>
      <w:r>
        <w:tab/>
        <w:t>- külterületi utak rendben tartására 2 millió forintot terveztünk, és</w:t>
      </w:r>
    </w:p>
    <w:p w:rsidR="00EA2258" w:rsidRDefault="00EA2258">
      <w:pPr>
        <w:spacing w:after="120"/>
        <w:ind w:left="708"/>
        <w:jc w:val="both"/>
      </w:pPr>
      <w:r>
        <w:t>- az államháztartáson kívülre nyújtandó támogatásokat is a novemberben jóváhagyott mértékben szerepeltetjük a tervezetben.</w:t>
      </w:r>
    </w:p>
    <w:p w:rsidR="00EA2258" w:rsidRDefault="00EA2258">
      <w:pPr>
        <w:jc w:val="both"/>
      </w:pPr>
      <w:r>
        <w:t>A költségvetési rendelet tervezete azt az alapelvet követi, amely szerint a központi költségvetés nem intézményt, hanem kötelező, önként vállalt és igazgatási feladatot támogat. A települési önkormányzatok kulturális feladatainak támogatása (könyvtár, közművelődési feladatok) címen részünkre biztosított 6.137.406,-Ft feladatalapú támogatási összeget a Csorvási Szolgáltató Nonprofit Kft. rendelkezésére bocsátjuk, elsősorban a könyvtári és közművelődési feladatok személyi jellegű és dologi kiadásainak fedezetére (feladatalapú támogatás).</w:t>
      </w:r>
    </w:p>
    <w:p w:rsidR="00EA2258" w:rsidRDefault="00EA2258">
      <w:pPr>
        <w:spacing w:before="120" w:after="120"/>
        <w:jc w:val="both"/>
      </w:pPr>
      <w:r>
        <w:t>Javasoljuk továbbá a Képviselő-testületnek, hogy a Csorvási Szolgáltató Nonprofit Kft. részére a 6.137.406,- Ft összegű feladatalapú támogatás mellett biztosítson 14.362.594,- Ft önkormányzati támogatást is.</w:t>
      </w:r>
    </w:p>
    <w:p w:rsidR="00EA2258" w:rsidRDefault="00EA2258">
      <w:pPr>
        <w:spacing w:before="120" w:after="120"/>
        <w:jc w:val="both"/>
      </w:pPr>
      <w:r>
        <w:t>A Magyarország helyi önkormányzatairól szóló 2011. évi CLXXXIX. törvény 111.§ (2) bekezdése kimondja, hogy: „A helyi önkormányzat gazdálkodásának alapja az évi költségvetés. Ebből finanszírozza és látja el a törvényben meghatározott kötelező, valamint a kötelező feladatai ellátását nem veszélyeztető önként vállalt feladatait.”</w:t>
      </w:r>
    </w:p>
    <w:p w:rsidR="00EA2258" w:rsidRDefault="00EA2258">
      <w:pPr>
        <w:spacing w:before="120" w:after="120"/>
        <w:jc w:val="both"/>
      </w:pPr>
      <w:r>
        <w:t>Az idézett törvényhely szerint egyértelmű, hogy először a kötelező feladatok ellátására kell fedezetet biztosítani, majd - ha a kötelező feladatok ellátását az nem veszélyezteti - finanszírozhatjuk a nem kötelező feladatokat is. Ezt általában a saját bevételeinkből tudjuk megtenni. A mozgásterünk korlátozott, mivel nem vetettünk ki új adót, és nem emeltük az adótételeket sem.</w:t>
      </w:r>
    </w:p>
    <w:p w:rsidR="00EA2258" w:rsidRDefault="00EA2258">
      <w:pPr>
        <w:spacing w:before="120" w:after="120"/>
        <w:jc w:val="both"/>
      </w:pPr>
      <w:r>
        <w:t xml:space="preserve">A Polgármesteri Hivatalnál a központi költségvetés által biztosított feladatalapú finanszírozás, továbbá a Hivatal saját bevételeinek összege fedezetet biztosít a hivatali kiadások finanszírozására. Külön önkormányzati forrást nem igényel az intézmény. </w:t>
      </w:r>
    </w:p>
    <w:p w:rsidR="00EA2258" w:rsidRDefault="00EA2258">
      <w:pPr>
        <w:jc w:val="both"/>
      </w:pPr>
      <w:r>
        <w:t>Ellentétben az Óvoda és Bölcsődével, valamint az Egyesített Szociális Intézménnyel, amelyek csak önkormányzati támogatással tudják ellátni a feladataikat. A közalkalmazottak és a Munka Törvénykönyve alapján foglalkoztatottak esetében a személyi juttatások tervezésénél a minimálbér és a garantált bér emelését természetesen figyelembe vettük.</w:t>
      </w:r>
    </w:p>
    <w:p w:rsidR="00EA2258" w:rsidRDefault="00EA2258">
      <w:pPr>
        <w:spacing w:before="120" w:after="120"/>
        <w:jc w:val="both"/>
      </w:pPr>
      <w:r>
        <w:t xml:space="preserve">Az Óvoda és Bölcsőde intézménynél 2020-ban is alulfinanszírozás tapasztalható. A köznevelési feladatokra 92.344 ezer Ft-ot, míg a szociális feladatokra (gyermekek napközbeni ellátása, gyermekétkeztetés) 41.118 ezer Ft-ot, összesen 133.462 ezer Ft-ot biztosít a központi költségvetés. Az intézmény kiadása 143.790 ezer Ft. A 320 ezer Ft-os működési bevételt, a 63 ezer Ft-os maradványt, és a központi támogatást figyelembe véve is, plusz 9.945 ezer Ft-os önkormányzati támogatás szükséges az intézmény 2020. évi működéséhez. </w:t>
      </w:r>
    </w:p>
    <w:p w:rsidR="00EA2258" w:rsidRDefault="00EA2258">
      <w:pPr>
        <w:jc w:val="both"/>
      </w:pPr>
      <w:r>
        <w:t>A zavartalan működéshez az Egyesített Szociális Intézménynek is szüksége van önkormányzati támogatásra, annak ellenére, hogy a központi támogatás jelentősen megemelkedett. Az önkormányzati támogatás összegét 10.845 ezer Ft-ban javasoljuk meghatározni.</w:t>
      </w:r>
    </w:p>
    <w:p w:rsidR="00EA2258" w:rsidRDefault="00EA2258">
      <w:pPr>
        <w:spacing w:before="120" w:after="120"/>
        <w:jc w:val="both"/>
      </w:pPr>
      <w:r>
        <w:t>Az önkormányzati támogatás összege a tavaly szükséges mértékhez képest csökkenést mutat, mivel 2019. évben 18.483 ezer Ft volt a költségvetés készítésekor az önkormányzati támogatás összege.</w:t>
      </w:r>
    </w:p>
    <w:p w:rsidR="00EA2258" w:rsidRDefault="00EA2258">
      <w:pPr>
        <w:spacing w:before="120" w:after="120"/>
        <w:jc w:val="both"/>
      </w:pPr>
      <w:r>
        <w:t>2018-ban 16.337 ezer Ft-ot, 2019-ben 18.483 ezer Ft-ot kellett, 2020-ban 10.845 ezer Ft-ot kell biztosítani az Intézmény működéséhez.</w:t>
      </w:r>
    </w:p>
    <w:p w:rsidR="00EA2258" w:rsidRDefault="00EA2258">
      <w:pPr>
        <w:spacing w:before="120" w:after="120"/>
        <w:jc w:val="both"/>
      </w:pPr>
      <w:r>
        <w:t>A szociális intézménynél tehát a kiadások összege 201.325 ezer Ft. Ebből az összegből a központi költségvetés 126.708 ezer Ft-ot finanszíroz. 63.772 ezer Ft a saját bevétel (működési bevétel: 63.599 ezer Ft, maradvány: 173 ezer Ft), az önkormányzati támogatás pedig 10.845 ezer Ft. Az intézménynél a működéshez szükséges önkormányzati támogatás összegéből a garantált bérre történő kiegészítés összege járulékkal együtt 2018-ben 6.843 ezer Ft, 2019. évben 5.300 ezer Ft, 2020-ban 5.444 ezer Ft. Az önkormányzati támogatás többi részét az teszi szükségessé, hogy az ágazati jogszabályok szerinti létszám magasabb, mint a költségvetési törvény által finanszírozott létszám.</w:t>
      </w:r>
    </w:p>
    <w:p w:rsidR="00EA2258" w:rsidRDefault="00EA2258">
      <w:pPr>
        <w:jc w:val="both"/>
      </w:pPr>
      <w:r>
        <w:t>A Pénzügyi-, Gazdasági- és Városfejlesztési Bizottság hatáskörében eljárva úgy foglalt állást, hogy az önkormányzat tulajdonában lévő nagyobb területű földeket az önkormányzat 2020-ban is maga művelje (ne adja bérbe). Rendelkezünk még kisebb földterületekkel, amelyeket a Bizottság, átruházott hatáskörben eljárva, bérbeadás útján hasznosíthat.</w:t>
      </w:r>
    </w:p>
    <w:p w:rsidR="00EA2258" w:rsidRDefault="00EA2258">
      <w:pPr>
        <w:jc w:val="both"/>
      </w:pPr>
    </w:p>
    <w:p w:rsidR="00EA2258" w:rsidRDefault="00EA2258">
      <w:pPr>
        <w:jc w:val="both"/>
      </w:pPr>
    </w:p>
    <w:p w:rsidR="00EA2258" w:rsidRDefault="00EA2258">
      <w:pPr>
        <w:jc w:val="both"/>
      </w:pPr>
      <w:r>
        <w:t>Tisztelt Képviselő-Testület!</w:t>
      </w:r>
    </w:p>
    <w:p w:rsidR="00EA2258" w:rsidRDefault="00EA2258">
      <w:pPr>
        <w:jc w:val="both"/>
      </w:pPr>
    </w:p>
    <w:p w:rsidR="00EA2258" w:rsidRDefault="00EA2258">
      <w:pPr>
        <w:jc w:val="both"/>
      </w:pPr>
    </w:p>
    <w:p w:rsidR="00EA2258" w:rsidRDefault="00EA2258">
      <w:pPr>
        <w:jc w:val="both"/>
      </w:pPr>
      <w:r>
        <w:t>A Magyarország helyi önkormányzatairól szóló 2011. évi CLXXXIX. törvény 111.§ (4) bekezdése úgy rendelkezik, hogy a költségvetési rendeletben működési hiány nem tervezhető.</w:t>
      </w:r>
    </w:p>
    <w:p w:rsidR="00EA2258" w:rsidRDefault="00EA2258">
      <w:pPr>
        <w:jc w:val="both"/>
      </w:pPr>
      <w:r>
        <w:t>Ebből következik, hogy egyensúlyban lévő költségvetési rendelet-tervezetet terjesztünk a Képviselő-testület elé. Szeretnénk azonban jelezni, hogy a tervezet sok pontjánál feszültség van. Ezek feloldásához takarékos gazdálkodásra, és a bevételek lehetőség szerinti növelésére, a kiadások csökkentésére van szükség.</w:t>
      </w:r>
    </w:p>
    <w:p w:rsidR="00EA2258" w:rsidRDefault="00EA2258">
      <w:pPr>
        <w:spacing w:before="120" w:after="120"/>
        <w:jc w:val="both"/>
      </w:pPr>
      <w:r>
        <w:t>Pályázati céljaink megvalósításával is azt szeretnénk elérni, hogy az intézményeinket nagyobb hatékonysággal, kevesebb ráfordítással tudjuk működtetni.</w:t>
      </w:r>
    </w:p>
    <w:p w:rsidR="00EA2258" w:rsidRDefault="00EA2258">
      <w:pPr>
        <w:jc w:val="both"/>
      </w:pPr>
      <w:r>
        <w:t>Alkalmazkodunk a megváltozott szociális ellátórendszerhez annak érdekében, hogy lehetőségeink szerint biztosítsuk a leginkább rászorulók megsegítését.</w:t>
      </w:r>
    </w:p>
    <w:p w:rsidR="00EA2258" w:rsidRDefault="00EA2258">
      <w:pPr>
        <w:jc w:val="both"/>
      </w:pPr>
    </w:p>
    <w:p w:rsidR="00EA2258" w:rsidRDefault="00EA2258">
      <w:pPr>
        <w:jc w:val="both"/>
      </w:pPr>
      <w:r>
        <w:t>A költségvetés költséghatékony tervezését, a működési, gazdálkodási folyamatok eredményességét több tényező gátolhatja. Sokszor éppen azok az ágazati jogszabályok, amelyek rendelkezéseinek betartásával természetesen jogkövető magatartást kívánunk tanúsítani, de azt kell tapasztalnunk, hogy mindez az önkormányzatot pénzügyileg igen nehezen kezelhető helyzet elé állítja. Álláspontom szerint azonban minden vezetőtől elvárható, hogy a munkájában az eredményalapú irányítás kerüljön előtérbe.</w:t>
      </w:r>
    </w:p>
    <w:p w:rsidR="00EA2258" w:rsidRDefault="00EA2258">
      <w:pPr>
        <w:jc w:val="both"/>
      </w:pPr>
    </w:p>
    <w:p w:rsidR="00EA2258" w:rsidRDefault="00EA2258">
      <w:pPr>
        <w:jc w:val="both"/>
      </w:pPr>
      <w:r>
        <w:t>Kérem a Tisztelt Képviselő-testületet, hogy a 2020. évi költségvetési rendelet tervezetét vitassa meg, és a rendeletet</w:t>
      </w:r>
    </w:p>
    <w:p w:rsidR="00EA2258" w:rsidRDefault="00EA2258">
      <w:pPr>
        <w:jc w:val="both"/>
      </w:pPr>
    </w:p>
    <w:p w:rsidR="00EA2258" w:rsidRDefault="00EA2258">
      <w:pPr>
        <w:jc w:val="both"/>
      </w:pPr>
      <w:r>
        <w:tab/>
      </w:r>
      <w:r>
        <w:tab/>
      </w:r>
      <w:r>
        <w:tab/>
      </w:r>
      <w:r>
        <w:tab/>
        <w:t>828.239 ezer Ft bevételi és</w:t>
      </w:r>
    </w:p>
    <w:p w:rsidR="00EA2258" w:rsidRDefault="00EA2258">
      <w:pPr>
        <w:jc w:val="both"/>
      </w:pPr>
      <w:r>
        <w:tab/>
      </w:r>
      <w:r>
        <w:tab/>
      </w:r>
      <w:r>
        <w:tab/>
      </w:r>
      <w:r>
        <w:tab/>
        <w:t>828.239 ezer Ft kiadási főösszeggel alkossa meg.</w:t>
      </w:r>
    </w:p>
    <w:p w:rsidR="00EA2258" w:rsidRDefault="00EA2258">
      <w:pPr>
        <w:jc w:val="both"/>
      </w:pPr>
    </w:p>
    <w:p w:rsidR="00EA2258" w:rsidRDefault="00EA2258">
      <w:pPr>
        <w:jc w:val="both"/>
      </w:pPr>
    </w:p>
    <w:p w:rsidR="00EA2258" w:rsidRDefault="00EA2258">
      <w:pPr>
        <w:jc w:val="both"/>
      </w:pPr>
    </w:p>
    <w:p w:rsidR="00EA2258" w:rsidRDefault="00EA2258">
      <w:pPr>
        <w:jc w:val="both"/>
      </w:pPr>
      <w:r>
        <w:t>Csorvás, 2020. február 14.</w:t>
      </w:r>
    </w:p>
    <w:p w:rsidR="00EA2258" w:rsidRDefault="00EA2258">
      <w:pPr>
        <w:jc w:val="both"/>
      </w:pPr>
    </w:p>
    <w:p w:rsidR="00EA2258" w:rsidRDefault="00EA2258">
      <w:pPr>
        <w:jc w:val="both"/>
      </w:pPr>
    </w:p>
    <w:p w:rsidR="00EA2258" w:rsidRDefault="00EA2258">
      <w:pPr>
        <w:jc w:val="both"/>
      </w:pPr>
    </w:p>
    <w:p w:rsidR="00EA2258" w:rsidRDefault="00EA2258">
      <w:pPr>
        <w:jc w:val="both"/>
      </w:pPr>
      <w:r>
        <w:tab/>
      </w:r>
      <w:r>
        <w:tab/>
      </w:r>
      <w:r>
        <w:tab/>
      </w:r>
      <w:r>
        <w:tab/>
      </w:r>
      <w:r>
        <w:tab/>
      </w:r>
      <w:r>
        <w:tab/>
      </w:r>
      <w:r>
        <w:tab/>
      </w:r>
      <w:r>
        <w:tab/>
      </w:r>
      <w:r>
        <w:tab/>
        <w:t>Baráth Lajos</w:t>
      </w:r>
    </w:p>
    <w:p w:rsidR="00EA2258" w:rsidRDefault="00EA2258">
      <w:pPr>
        <w:jc w:val="both"/>
      </w:pPr>
      <w:r>
        <w:tab/>
      </w:r>
      <w:r>
        <w:tab/>
      </w:r>
      <w:r>
        <w:tab/>
      </w:r>
      <w:r>
        <w:tab/>
      </w:r>
      <w:r>
        <w:tab/>
      </w:r>
      <w:r>
        <w:tab/>
      </w:r>
      <w:r>
        <w:tab/>
      </w:r>
      <w:r>
        <w:tab/>
      </w:r>
      <w:r>
        <w:tab/>
        <w:t>polgármester</w:t>
      </w:r>
    </w:p>
    <w:sectPr w:rsidR="00EA2258" w:rsidSect="00E51497">
      <w:headerReference w:type="default" r:id="rId7"/>
      <w:footerReference w:type="default" r:id="rId8"/>
      <w:headerReference w:type="first" r:id="rId9"/>
      <w:footerReference w:type="first" r:id="rId10"/>
      <w:endnotePr>
        <w:numFmt w:val="decimal"/>
      </w:endnotePr>
      <w:pgSz w:w="11906" w:h="16838"/>
      <w:pgMar w:top="1417" w:right="1417" w:bottom="1417" w:left="1417" w:header="709" w:footer="708"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258" w:rsidRDefault="00EA2258">
      <w:r>
        <w:separator/>
      </w:r>
    </w:p>
  </w:endnote>
  <w:endnote w:type="continuationSeparator" w:id="0">
    <w:p w:rsidR="00EA2258" w:rsidRDefault="00EA2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Default="00EA2258">
    <w:pPr>
      <w:pStyle w:val="Footer"/>
    </w:pPr>
    <w:r>
      <w:rPr>
        <w:noProof/>
        <w:lang w:eastAsia="hu-HU"/>
      </w:rPr>
      <w:pict>
        <v:shapetype id="_x0000_t202" coordsize="21600,21600" o:spt="202" path="m,l,21600r21600,l21600,xe">
          <v:stroke joinstyle="miter"/>
          <v:path gradientshapeok="t" o:connecttype="rect"/>
        </v:shapetype>
        <v:shape id="Szövegdoboz1" o:spid="_x0000_s2049" type="#_x0000_t202" style="position:absolute;margin-left:0;margin-top:.05pt;width:9pt;height:13.8pt;z-index:251660288;visibility:visible;mso-wrap-distance-left:0;mso-wrap-distance-right:0;mso-position-horizontal:center;mso-position-horizontal-relative:margin" o:allowincell="f" filled="f" stroked="f" strokeweight="1pt">
          <v:textbox style="mso-fit-shape-to-text:t" inset="0,0,0,0">
            <w:txbxContent>
              <w:p w:rsidR="00EA2258" w:rsidRDefault="00EA2258">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txbxContent>
          </v:textbox>
          <w10:wrap type="square" anchorx="margin"/>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Default="00EA225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258" w:rsidRDefault="00EA2258">
      <w:r>
        <w:separator/>
      </w:r>
    </w:p>
  </w:footnote>
  <w:footnote w:type="continuationSeparator" w:id="0">
    <w:p w:rsidR="00EA2258" w:rsidRDefault="00EA2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Default="00EA2258"/>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Default="00EA225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F3AF4"/>
    <w:multiLevelType w:val="hybridMultilevel"/>
    <w:tmpl w:val="B87AC7EE"/>
    <w:lvl w:ilvl="0" w:tplc="970ADA4E">
      <w:numFmt w:val="none"/>
      <w:lvlText w:val=""/>
      <w:lvlJc w:val="left"/>
      <w:pPr>
        <w:tabs>
          <w:tab w:val="num" w:pos="360"/>
        </w:tabs>
        <w:ind w:left="360" w:hanging="360"/>
      </w:pPr>
    </w:lvl>
    <w:lvl w:ilvl="1" w:tplc="A3B02F6C">
      <w:numFmt w:val="none"/>
      <w:lvlText w:val=""/>
      <w:lvlJc w:val="left"/>
      <w:pPr>
        <w:tabs>
          <w:tab w:val="num" w:pos="360"/>
        </w:tabs>
        <w:ind w:left="360" w:hanging="360"/>
      </w:pPr>
    </w:lvl>
    <w:lvl w:ilvl="2" w:tplc="95D827E0">
      <w:numFmt w:val="none"/>
      <w:lvlText w:val=""/>
      <w:lvlJc w:val="left"/>
      <w:pPr>
        <w:tabs>
          <w:tab w:val="num" w:pos="360"/>
        </w:tabs>
        <w:ind w:left="360" w:hanging="360"/>
      </w:pPr>
    </w:lvl>
    <w:lvl w:ilvl="3" w:tplc="1F24F6C4">
      <w:numFmt w:val="none"/>
      <w:lvlText w:val=""/>
      <w:lvlJc w:val="left"/>
      <w:pPr>
        <w:tabs>
          <w:tab w:val="num" w:pos="360"/>
        </w:tabs>
        <w:ind w:left="360" w:hanging="360"/>
      </w:pPr>
    </w:lvl>
    <w:lvl w:ilvl="4" w:tplc="868E7F8A">
      <w:numFmt w:val="none"/>
      <w:lvlText w:val=""/>
      <w:lvlJc w:val="left"/>
      <w:pPr>
        <w:tabs>
          <w:tab w:val="num" w:pos="360"/>
        </w:tabs>
        <w:ind w:left="360" w:hanging="360"/>
      </w:pPr>
    </w:lvl>
    <w:lvl w:ilvl="5" w:tplc="6A607CC6">
      <w:numFmt w:val="none"/>
      <w:lvlText w:val=""/>
      <w:lvlJc w:val="left"/>
      <w:pPr>
        <w:tabs>
          <w:tab w:val="num" w:pos="360"/>
        </w:tabs>
        <w:ind w:left="360" w:hanging="360"/>
      </w:pPr>
    </w:lvl>
    <w:lvl w:ilvl="6" w:tplc="46D0EAFE">
      <w:numFmt w:val="none"/>
      <w:lvlText w:val=""/>
      <w:lvlJc w:val="left"/>
      <w:pPr>
        <w:tabs>
          <w:tab w:val="num" w:pos="360"/>
        </w:tabs>
        <w:ind w:left="360" w:hanging="360"/>
      </w:pPr>
    </w:lvl>
    <w:lvl w:ilvl="7" w:tplc="A1888D60">
      <w:numFmt w:val="none"/>
      <w:lvlText w:val=""/>
      <w:lvlJc w:val="left"/>
      <w:pPr>
        <w:tabs>
          <w:tab w:val="num" w:pos="360"/>
        </w:tabs>
        <w:ind w:left="360" w:hanging="360"/>
      </w:pPr>
    </w:lvl>
    <w:lvl w:ilvl="8" w:tplc="1BB0B7F8">
      <w:numFmt w:val="none"/>
      <w:lvlText w:val=""/>
      <w:lvlJc w:val="left"/>
      <w:pPr>
        <w:tabs>
          <w:tab w:val="num" w:pos="360"/>
        </w:tabs>
        <w:ind w:left="360" w:hanging="360"/>
      </w:pPr>
    </w:lvl>
  </w:abstractNum>
  <w:abstractNum w:abstractNumId="1">
    <w:nsid w:val="2B372427"/>
    <w:multiLevelType w:val="hybridMultilevel"/>
    <w:tmpl w:val="66DC893E"/>
    <w:name w:val="Számozott lista 1"/>
    <w:lvl w:ilvl="0" w:tplc="A096235C">
      <w:numFmt w:val="bullet"/>
      <w:lvlText w:val="-"/>
      <w:lvlJc w:val="left"/>
      <w:pPr>
        <w:ind w:left="360"/>
      </w:pPr>
      <w:rPr>
        <w:rFonts w:ascii="Times New Roman" w:eastAsia="Times New Roman" w:hAnsi="Times New Roman"/>
      </w:rPr>
    </w:lvl>
    <w:lvl w:ilvl="1" w:tplc="F8AEF562">
      <w:numFmt w:val="bullet"/>
      <w:lvlText w:val="o"/>
      <w:lvlJc w:val="left"/>
      <w:pPr>
        <w:ind w:left="1080"/>
      </w:pPr>
      <w:rPr>
        <w:rFonts w:ascii="Courier New" w:eastAsia="Times New Roman" w:hAnsi="Courier New"/>
      </w:rPr>
    </w:lvl>
    <w:lvl w:ilvl="2" w:tplc="411E7B6C">
      <w:numFmt w:val="bullet"/>
      <w:lvlText w:val=""/>
      <w:lvlJc w:val="left"/>
      <w:pPr>
        <w:ind w:left="1800"/>
      </w:pPr>
      <w:rPr>
        <w:rFonts w:ascii="Wingdings" w:eastAsia="Times New Roman" w:hAnsi="Wingdings"/>
      </w:rPr>
    </w:lvl>
    <w:lvl w:ilvl="3" w:tplc="6018CFEA">
      <w:numFmt w:val="bullet"/>
      <w:lvlText w:val=""/>
      <w:lvlJc w:val="left"/>
      <w:pPr>
        <w:ind w:left="2520"/>
      </w:pPr>
      <w:rPr>
        <w:rFonts w:ascii="Symbol" w:eastAsia="Times New Roman" w:hAnsi="Symbol"/>
      </w:rPr>
    </w:lvl>
    <w:lvl w:ilvl="4" w:tplc="DB480AD2">
      <w:numFmt w:val="bullet"/>
      <w:lvlText w:val="o"/>
      <w:lvlJc w:val="left"/>
      <w:pPr>
        <w:ind w:left="3240"/>
      </w:pPr>
      <w:rPr>
        <w:rFonts w:ascii="Courier New" w:eastAsia="Times New Roman" w:hAnsi="Courier New"/>
      </w:rPr>
    </w:lvl>
    <w:lvl w:ilvl="5" w:tplc="9F4A493C">
      <w:numFmt w:val="bullet"/>
      <w:lvlText w:val=""/>
      <w:lvlJc w:val="left"/>
      <w:pPr>
        <w:ind w:left="3960"/>
      </w:pPr>
      <w:rPr>
        <w:rFonts w:ascii="Wingdings" w:eastAsia="Times New Roman" w:hAnsi="Wingdings"/>
      </w:rPr>
    </w:lvl>
    <w:lvl w:ilvl="6" w:tplc="18A853E6">
      <w:numFmt w:val="bullet"/>
      <w:lvlText w:val=""/>
      <w:lvlJc w:val="left"/>
      <w:pPr>
        <w:ind w:left="4680"/>
      </w:pPr>
      <w:rPr>
        <w:rFonts w:ascii="Symbol" w:eastAsia="Times New Roman" w:hAnsi="Symbol"/>
      </w:rPr>
    </w:lvl>
    <w:lvl w:ilvl="7" w:tplc="3940A07E">
      <w:numFmt w:val="bullet"/>
      <w:lvlText w:val="o"/>
      <w:lvlJc w:val="left"/>
      <w:pPr>
        <w:ind w:left="5400"/>
      </w:pPr>
      <w:rPr>
        <w:rFonts w:ascii="Courier New" w:eastAsia="Times New Roman" w:hAnsi="Courier New"/>
      </w:rPr>
    </w:lvl>
    <w:lvl w:ilvl="8" w:tplc="993AE82C">
      <w:numFmt w:val="bullet"/>
      <w:lvlText w:val=""/>
      <w:lvlJc w:val="left"/>
      <w:pPr>
        <w:ind w:left="6120"/>
      </w:pPr>
      <w:rPr>
        <w:rFonts w:ascii="Wingdings" w:eastAsia="Times New Roman" w:hAnsi="Wingdings"/>
      </w:rPr>
    </w:lvl>
  </w:abstractNum>
  <w:abstractNum w:abstractNumId="2">
    <w:nsid w:val="46B604A4"/>
    <w:multiLevelType w:val="hybridMultilevel"/>
    <w:tmpl w:val="62526B24"/>
    <w:name w:val="Számozott lista 2"/>
    <w:lvl w:ilvl="0" w:tplc="C3A082AE">
      <w:numFmt w:val="bullet"/>
      <w:lvlText w:val="-"/>
      <w:lvlJc w:val="left"/>
      <w:pPr>
        <w:ind w:left="360"/>
      </w:pPr>
      <w:rPr>
        <w:rFonts w:ascii="Times New Roman" w:eastAsia="Times New Roman" w:hAnsi="Times New Roman"/>
      </w:rPr>
    </w:lvl>
    <w:lvl w:ilvl="1" w:tplc="ED128C2A">
      <w:numFmt w:val="bullet"/>
      <w:lvlText w:val="o"/>
      <w:lvlJc w:val="left"/>
      <w:pPr>
        <w:ind w:left="1080"/>
      </w:pPr>
      <w:rPr>
        <w:rFonts w:ascii="Courier New" w:eastAsia="Times New Roman" w:hAnsi="Courier New"/>
      </w:rPr>
    </w:lvl>
    <w:lvl w:ilvl="2" w:tplc="AFAC0D48">
      <w:numFmt w:val="bullet"/>
      <w:lvlText w:val=""/>
      <w:lvlJc w:val="left"/>
      <w:pPr>
        <w:ind w:left="1800"/>
      </w:pPr>
      <w:rPr>
        <w:rFonts w:ascii="Wingdings" w:eastAsia="Times New Roman" w:hAnsi="Wingdings"/>
      </w:rPr>
    </w:lvl>
    <w:lvl w:ilvl="3" w:tplc="EED87D28">
      <w:numFmt w:val="bullet"/>
      <w:lvlText w:val=""/>
      <w:lvlJc w:val="left"/>
      <w:pPr>
        <w:ind w:left="2520"/>
      </w:pPr>
      <w:rPr>
        <w:rFonts w:ascii="Symbol" w:eastAsia="Times New Roman" w:hAnsi="Symbol"/>
      </w:rPr>
    </w:lvl>
    <w:lvl w:ilvl="4" w:tplc="F8661F26">
      <w:numFmt w:val="bullet"/>
      <w:lvlText w:val="o"/>
      <w:lvlJc w:val="left"/>
      <w:pPr>
        <w:ind w:left="3240"/>
      </w:pPr>
      <w:rPr>
        <w:rFonts w:ascii="Courier New" w:eastAsia="Times New Roman" w:hAnsi="Courier New"/>
      </w:rPr>
    </w:lvl>
    <w:lvl w:ilvl="5" w:tplc="4CAA783E">
      <w:numFmt w:val="bullet"/>
      <w:lvlText w:val=""/>
      <w:lvlJc w:val="left"/>
      <w:pPr>
        <w:ind w:left="3960"/>
      </w:pPr>
      <w:rPr>
        <w:rFonts w:ascii="Wingdings" w:eastAsia="Times New Roman" w:hAnsi="Wingdings"/>
      </w:rPr>
    </w:lvl>
    <w:lvl w:ilvl="6" w:tplc="45C88066">
      <w:numFmt w:val="bullet"/>
      <w:lvlText w:val=""/>
      <w:lvlJc w:val="left"/>
      <w:pPr>
        <w:ind w:left="4680"/>
      </w:pPr>
      <w:rPr>
        <w:rFonts w:ascii="Symbol" w:eastAsia="Times New Roman" w:hAnsi="Symbol"/>
      </w:rPr>
    </w:lvl>
    <w:lvl w:ilvl="7" w:tplc="3176FC72">
      <w:numFmt w:val="bullet"/>
      <w:lvlText w:val="o"/>
      <w:lvlJc w:val="left"/>
      <w:pPr>
        <w:ind w:left="5400"/>
      </w:pPr>
      <w:rPr>
        <w:rFonts w:ascii="Courier New" w:eastAsia="Times New Roman" w:hAnsi="Courier New"/>
      </w:rPr>
    </w:lvl>
    <w:lvl w:ilvl="8" w:tplc="5E0A18FA">
      <w:numFmt w:val="bullet"/>
      <w:lvlText w:val=""/>
      <w:lvlJc w:val="left"/>
      <w:pPr>
        <w:ind w:left="6120"/>
      </w:pPr>
      <w:rPr>
        <w:rFonts w:ascii="Wingdings" w:eastAsia="Times New Roman" w:hAnsi="Wingdings"/>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283"/>
  <w:drawingGridVerticalSpacing w:val="283"/>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6445"/>
    <w:rsid w:val="0001433C"/>
    <w:rsid w:val="000267B7"/>
    <w:rsid w:val="000450F0"/>
    <w:rsid w:val="000506A8"/>
    <w:rsid w:val="0006050A"/>
    <w:rsid w:val="000B32B0"/>
    <w:rsid w:val="000B5ECD"/>
    <w:rsid w:val="001B2BEA"/>
    <w:rsid w:val="00216C30"/>
    <w:rsid w:val="002814CA"/>
    <w:rsid w:val="002D757E"/>
    <w:rsid w:val="00337BC6"/>
    <w:rsid w:val="003E3388"/>
    <w:rsid w:val="003E7CC9"/>
    <w:rsid w:val="00440CB9"/>
    <w:rsid w:val="004935B8"/>
    <w:rsid w:val="004C6A71"/>
    <w:rsid w:val="00543FE4"/>
    <w:rsid w:val="005D3B71"/>
    <w:rsid w:val="005E6AC1"/>
    <w:rsid w:val="005F2567"/>
    <w:rsid w:val="00607CA9"/>
    <w:rsid w:val="00676445"/>
    <w:rsid w:val="006A4710"/>
    <w:rsid w:val="00704EB3"/>
    <w:rsid w:val="007546A3"/>
    <w:rsid w:val="00755389"/>
    <w:rsid w:val="007A5936"/>
    <w:rsid w:val="007B68DD"/>
    <w:rsid w:val="007D434E"/>
    <w:rsid w:val="0080381D"/>
    <w:rsid w:val="00857F4E"/>
    <w:rsid w:val="008A2874"/>
    <w:rsid w:val="008A6F33"/>
    <w:rsid w:val="00903C41"/>
    <w:rsid w:val="00911B21"/>
    <w:rsid w:val="00923A76"/>
    <w:rsid w:val="0097304F"/>
    <w:rsid w:val="009E1D63"/>
    <w:rsid w:val="009F21F0"/>
    <w:rsid w:val="00A014E7"/>
    <w:rsid w:val="00A24AD3"/>
    <w:rsid w:val="00A547E0"/>
    <w:rsid w:val="00AA6F83"/>
    <w:rsid w:val="00AB754F"/>
    <w:rsid w:val="00AF0CAC"/>
    <w:rsid w:val="00B4720E"/>
    <w:rsid w:val="00B56639"/>
    <w:rsid w:val="00C768C2"/>
    <w:rsid w:val="00D0300B"/>
    <w:rsid w:val="00D82434"/>
    <w:rsid w:val="00DB5E30"/>
    <w:rsid w:val="00DC2EF8"/>
    <w:rsid w:val="00DE6310"/>
    <w:rsid w:val="00E51497"/>
    <w:rsid w:val="00E73158"/>
    <w:rsid w:val="00EA2258"/>
    <w:rsid w:val="00EA52AA"/>
    <w:rsid w:val="00EC498D"/>
    <w:rsid w:val="00ED0C42"/>
    <w:rsid w:val="00ED6B9C"/>
    <w:rsid w:val="00EF29BE"/>
    <w:rsid w:val="00EF57C8"/>
    <w:rsid w:val="00FC0E96"/>
    <w:rsid w:val="00FF7098"/>
  </w:rsids>
  <m:mathPr>
    <m:mathFont m:val="Cambria Math"/>
    <m:brkBin m:val="before"/>
    <m:brkBinSub m:val="--"/>
    <m:smallFrac m:val="off"/>
    <m:dispDef/>
    <m:lMargin m:val="0"/>
    <m:rMargin m:val="0"/>
    <m:defJc m:val="centerGroup"/>
    <m:wrapIndent m:val="1440"/>
    <m:intLim m:val="subSup"/>
    <m:naryLim m:val="undOvr"/>
  </m:mathPr>
  <w:uiCompat97To2003/>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497"/>
    <w:rPr>
      <w:sz w:val="24"/>
      <w:szCs w:val="24"/>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51497"/>
    <w:pPr>
      <w:tabs>
        <w:tab w:val="center" w:pos="4536"/>
        <w:tab w:val="right" w:pos="9072"/>
      </w:tabs>
    </w:pPr>
  </w:style>
  <w:style w:type="character" w:customStyle="1" w:styleId="FooterChar">
    <w:name w:val="Footer Char"/>
    <w:basedOn w:val="DefaultParagraphFont"/>
    <w:link w:val="Footer"/>
    <w:uiPriority w:val="99"/>
    <w:semiHidden/>
    <w:locked/>
    <w:rsid w:val="000B5ECD"/>
    <w:rPr>
      <w:sz w:val="24"/>
      <w:szCs w:val="24"/>
      <w:lang w:eastAsia="zh-CN"/>
    </w:rPr>
  </w:style>
  <w:style w:type="paragraph" w:styleId="BalloonText">
    <w:name w:val="Balloon Text"/>
    <w:basedOn w:val="Normal"/>
    <w:link w:val="BalloonTextChar"/>
    <w:uiPriority w:val="99"/>
    <w:semiHidden/>
    <w:rsid w:val="00E5149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5ECD"/>
    <w:rPr>
      <w:sz w:val="2"/>
      <w:szCs w:val="2"/>
      <w:lang w:eastAsia="zh-CN"/>
    </w:rPr>
  </w:style>
  <w:style w:type="character" w:styleId="PageNumber">
    <w:name w:val="page number"/>
    <w:basedOn w:val="DefaultParagraphFont"/>
    <w:uiPriority w:val="99"/>
    <w:rsid w:val="00E5149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5</Pages>
  <Words>1863</Words>
  <Characters>12860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Csorvás Város Polgármesterétől</dc:title>
  <dc:subject/>
  <dc:creator>Borbély</dc:creator>
  <cp:keywords/>
  <dc:description/>
  <cp:lastModifiedBy>Erika</cp:lastModifiedBy>
  <cp:revision>2</cp:revision>
  <cp:lastPrinted>2019-02-22T11:33:00Z</cp:lastPrinted>
  <dcterms:created xsi:type="dcterms:W3CDTF">2020-02-21T09:07:00Z</dcterms:created>
  <dcterms:modified xsi:type="dcterms:W3CDTF">2020-02-21T09:07:00Z</dcterms:modified>
</cp:coreProperties>
</file>