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/>
        <w:jc w:val="center"/>
        <w:rPr>
          <w:rFonts w:ascii="MS Sans Serif" w:hAnsi="MS Sans Serif"/>
          <w:sz w:val="20"/>
          <w:szCs w:val="20"/>
        </w:rPr>
      </w:pPr>
      <w:r>
        <w:rPr>
          <w:rFonts w:ascii="MS Sans Serif" w:hAnsi="MS Sans Serif"/>
          <w:sz w:val="20"/>
          <w:szCs w:val="20"/>
        </w:rPr>
        <w:t>9. melléklet az önkormányzat 2018. évi költségvetéséről szóló 2/2018.(III. 12.) önkormányzati rendelet módosításáról szóló …./2018.(…..) önkormányzati rendelethez</w:t>
      </w:r>
    </w:p>
    <w:p>
      <w:pPr>
        <w:spacing/>
        <w:jc w:val="center"/>
      </w:pPr>
      <w:r/>
    </w:p>
    <w:p>
      <w:pPr>
        <w:spacing/>
        <w:jc w:val="center"/>
      </w:pPr>
      <w:r>
        <w:t>„10. melléklet az önkormányzat 2018. évi költségvetéséről szóló 2/2018.(III.12.) önkormányzati rendelethez</w:t>
      </w:r>
    </w:p>
    <w:p>
      <w:r/>
    </w:p>
    <w:p>
      <w:pPr>
        <w:pStyle w:val="para1"/>
        <w:numPr>
          <w:ilvl w:val="0"/>
          <w:numId w:val="1"/>
        </w:numPr>
        <w:ind w:left="432" w:hanging="432"/>
        <w:rPr>
          <w:szCs w:val="28"/>
        </w:rPr>
      </w:pPr>
      <w:r>
        <w:t>Csorvás Város Önkormányzatának</w:t>
      </w:r>
      <w:r>
        <w:rPr>
          <w:szCs w:val="28"/>
        </w:rPr>
      </w:r>
    </w:p>
    <w:p>
      <w:pPr>
        <w:pStyle w:val="para1"/>
        <w:numPr>
          <w:ilvl w:val="0"/>
          <w:numId w:val="1"/>
        </w:numPr>
        <w:ind w:left="432" w:hanging="432"/>
        <w:rPr>
          <w:szCs w:val="28"/>
        </w:rPr>
      </w:pPr>
      <w:r>
        <w:t xml:space="preserve"> 2018. évi </w:t>
      </w:r>
      <w:r>
        <w:rPr>
          <w:szCs w:val="28"/>
        </w:rPr>
      </w:r>
    </w:p>
    <w:p>
      <w:pPr>
        <w: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működési  célú pénzeszköz átadásai ÁHT-n </w:t>
      </w:r>
    </w:p>
    <w:p>
      <w:pPr>
        <w:spacing/>
        <w:jc w:val="center"/>
        <w:rPr>
          <w:b/>
          <w:bCs/>
        </w:rPr>
      </w:pPr>
      <w:r>
        <w:rPr>
          <w:b/>
          <w:sz w:val="28"/>
          <w:szCs w:val="28"/>
        </w:rPr>
        <w:t>belülre és kívülre</w:t>
      </w:r>
      <w:r>
        <w:rPr>
          <w:b/>
          <w:bCs/>
        </w:rPr>
      </w:r>
    </w:p>
    <w:p>
      <w:pPr>
        <w:rPr>
          <w:b/>
          <w:bCs/>
        </w:rPr>
      </w:pPr>
      <w:r>
        <w:rPr>
          <w:b/>
          <w:bCs/>
        </w:rPr>
      </w:r>
    </w:p>
    <w:p>
      <w:pPr>
        <w:rPr>
          <w:b/>
          <w:bCs/>
        </w:rPr>
      </w:pPr>
      <w:r>
        <w:rPr>
          <w:b/>
          <w:bCs/>
        </w:rPr>
      </w:r>
    </w:p>
    <w:p>
      <w:pPr>
        <w:spacing/>
        <w:jc w:val="right"/>
      </w:pPr>
      <w:r>
        <w:t>adatok ezer Ft</w:t>
      </w:r>
    </w:p>
    <w:tbl>
      <w:tblPr>
        <w:name w:val="Táblázat1"/>
        <w:tabOrder w:val="0"/>
        <w:jc w:val="left"/>
        <w:tblInd w:w="-45" w:type="dxa"/>
        <w:tblW w:w="9302" w:type="dxa"/>
      </w:tblPr>
      <w:tblGrid>
        <w:gridCol w:w="610"/>
        <w:gridCol w:w="5220"/>
        <w:gridCol w:w="3472"/>
      </w:tblGrid>
      <w:tr>
        <w:trPr>
          <w:trHeight w:val="0" w:hRule="auto"/>
        </w:trPr>
        <w:tc>
          <w:tcPr>
            <w:tcW w:w="61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307" protected="1"/>
          </w:tcPr>
          <w:p>
            <w:pPr>
              <w:pStyle w:val="para1"/>
              <w:numPr>
                <w:ilvl w:val="0"/>
                <w:numId w:val="1"/>
              </w:numPr>
              <w:ind w:left="432" w:hanging="432"/>
            </w:pPr>
            <w:r/>
          </w:p>
        </w:tc>
        <w:tc>
          <w:tcPr>
            <w:tcW w:w="522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307" protected="1"/>
          </w:tcPr>
          <w:p>
            <w:pPr>
              <w:pStyle w:val="para1"/>
              <w:numPr>
                <w:ilvl w:val="0"/>
                <w:numId w:val="1"/>
              </w:numPr>
              <w:ind w:left="432" w:hanging="432"/>
            </w:pPr>
            <w:r>
              <w:t>A</w:t>
            </w:r>
          </w:p>
        </w:tc>
        <w:tc>
          <w:tcPr>
            <w:tcW w:w="347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0833307" protected="1"/>
          </w:tcPr>
          <w:p>
            <w:pPr>
              <w:pStyle w:val="para1"/>
              <w:numPr>
                <w:ilvl w:val="0"/>
                <w:numId w:val="1"/>
              </w:numPr>
              <w:ind w:left="432" w:hanging="432"/>
            </w:pPr>
            <w:r>
              <w:t>B</w:t>
            </w:r>
          </w:p>
        </w:tc>
      </w:tr>
      <w:tr>
        <w:trPr>
          <w:trHeight w:val="0" w:hRule="auto"/>
        </w:trPr>
        <w:tc>
          <w:tcPr>
            <w:tcW w:w="61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307" protected="1"/>
          </w:tcPr>
          <w:p>
            <w:pPr>
              <w:pStyle w:val="para1"/>
              <w:numPr>
                <w:ilvl w:val="0"/>
                <w:numId w:val="1"/>
              </w:numPr>
              <w:ind w:left="432" w:hanging="432"/>
            </w:pPr>
            <w:r>
              <w:t>1.</w:t>
            </w:r>
          </w:p>
        </w:tc>
        <w:tc>
          <w:tcPr>
            <w:tcW w:w="522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307" protected="1"/>
          </w:tcPr>
          <w:p>
            <w:pPr>
              <w:pStyle w:val="para1"/>
              <w:numPr>
                <w:ilvl w:val="0"/>
                <w:numId w:val="1"/>
              </w:numPr>
              <w:ind w:left="432" w:hanging="432"/>
            </w:pPr>
            <w:r>
              <w:t>Megnevezés</w:t>
            </w:r>
          </w:p>
        </w:tc>
        <w:tc>
          <w:tcPr>
            <w:tcW w:w="347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0833307" protected="1"/>
          </w:tcPr>
          <w:p>
            <w:pPr>
              <w:pStyle w:val="para1"/>
              <w:numPr>
                <w:ilvl w:val="0"/>
                <w:numId w:val="1"/>
              </w:numPr>
              <w:ind w:left="432" w:hanging="432"/>
            </w:pPr>
            <w:r>
              <w:t>Összeg</w:t>
            </w:r>
          </w:p>
        </w:tc>
      </w:tr>
      <w:tr>
        <w:trPr>
          <w:trHeight w:val="0" w:hRule="auto"/>
        </w:trPr>
        <w:tc>
          <w:tcPr>
            <w:tcW w:w="61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307" protected="1"/>
          </w:tcPr>
          <w:p>
            <w:pPr>
              <w:spacing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sz w:val="28"/>
              </w:rPr>
            </w:r>
          </w:p>
        </w:tc>
        <w:tc>
          <w:tcPr>
            <w:tcW w:w="522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307" protected="1"/>
          </w:tcPr>
          <w:p>
            <w:pPr>
              <w:spacing/>
              <w:jc w:val="both"/>
              <w:rPr>
                <w:sz w:val="28"/>
              </w:rPr>
            </w:pPr>
            <w:r>
              <w:rPr>
                <w:sz w:val="28"/>
              </w:rPr>
              <w:t>Csorvási Sportkör támogatása</w:t>
            </w:r>
          </w:p>
        </w:tc>
        <w:tc>
          <w:tcPr>
            <w:tcW w:w="347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0833307" protected="1"/>
          </w:tcPr>
          <w:p>
            <w:pPr>
              <w:ind w:left="830" w:hanging="830"/>
              <w:spacing/>
              <w:jc w:val="center"/>
            </w:pPr>
            <w:r>
              <w:rPr>
                <w:sz w:val="28"/>
              </w:rPr>
              <w:t>800</w:t>
            </w:r>
            <w:r/>
          </w:p>
        </w:tc>
      </w:tr>
      <w:tr>
        <w:trPr>
          <w:trHeight w:val="0" w:hRule="auto"/>
        </w:trPr>
        <w:tc>
          <w:tcPr>
            <w:tcW w:w="61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307" protected="1"/>
          </w:tcPr>
          <w:p>
            <w:pPr>
              <w:spacing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3.</w:t>
            </w:r>
            <w:r>
              <w:rPr>
                <w:sz w:val="28"/>
              </w:rPr>
            </w:r>
          </w:p>
        </w:tc>
        <w:tc>
          <w:tcPr>
            <w:tcW w:w="522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307" protected="1"/>
          </w:tcPr>
          <w:p>
            <w:pPr>
              <w:spacing/>
              <w:jc w:val="both"/>
              <w:rPr>
                <w:sz w:val="28"/>
              </w:rPr>
            </w:pPr>
            <w:r>
              <w:rPr>
                <w:sz w:val="28"/>
              </w:rPr>
              <w:t>Csorvási Fúvószenekar és Majorette Alapítvány támogatása</w:t>
            </w:r>
          </w:p>
        </w:tc>
        <w:tc>
          <w:tcPr>
            <w:tcW w:w="347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0833307" protected="1"/>
          </w:tcPr>
          <w:p>
            <w:pPr>
              <w:ind w:left="830" w:hanging="830"/>
              <w:spacing/>
              <w:jc w:val="center"/>
            </w:pPr>
            <w:r>
              <w:rPr>
                <w:sz w:val="28"/>
              </w:rPr>
              <w:t>700</w:t>
            </w:r>
            <w:r/>
          </w:p>
        </w:tc>
      </w:tr>
      <w:tr>
        <w:trPr>
          <w:trHeight w:val="0" w:hRule="auto"/>
        </w:trPr>
        <w:tc>
          <w:tcPr>
            <w:tcW w:w="61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307" protected="1"/>
          </w:tcPr>
          <w:p>
            <w:pPr>
              <w:spacing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4.</w:t>
            </w:r>
            <w:r>
              <w:rPr>
                <w:sz w:val="28"/>
              </w:rPr>
            </w:r>
          </w:p>
        </w:tc>
        <w:tc>
          <w:tcPr>
            <w:tcW w:w="522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307" protected="1"/>
          </w:tcPr>
          <w:p>
            <w:pPr>
              <w:spacing/>
              <w:jc w:val="both"/>
              <w:rPr>
                <w:sz w:val="28"/>
              </w:rPr>
            </w:pPr>
            <w:r>
              <w:rPr>
                <w:sz w:val="28"/>
              </w:rPr>
              <w:t>Iskolaegészségügyi támogatás</w:t>
            </w:r>
          </w:p>
        </w:tc>
        <w:tc>
          <w:tcPr>
            <w:tcW w:w="347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0833307" protected="1"/>
          </w:tcPr>
          <w:p>
            <w:pPr>
              <w:spacing/>
              <w:jc w:val="center"/>
            </w:pPr>
            <w:r>
              <w:rPr>
                <w:sz w:val="28"/>
              </w:rPr>
              <w:t>238</w:t>
            </w:r>
            <w:r/>
          </w:p>
        </w:tc>
      </w:tr>
      <w:tr>
        <w:trPr>
          <w:trHeight w:val="0" w:hRule="auto"/>
        </w:trPr>
        <w:tc>
          <w:tcPr>
            <w:tcW w:w="61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307" protected="1"/>
          </w:tcPr>
          <w:p>
            <w:pPr>
              <w:spacing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5.</w:t>
            </w:r>
            <w:r>
              <w:rPr>
                <w:sz w:val="28"/>
              </w:rPr>
            </w:r>
          </w:p>
        </w:tc>
        <w:tc>
          <w:tcPr>
            <w:tcW w:w="522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307" protected="1"/>
          </w:tcPr>
          <w:p>
            <w:pPr>
              <w:spacing/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Központi Ügyelet támogatása</w:t>
            </w:r>
            <w:r>
              <w:rPr>
                <w:sz w:val="28"/>
                <w:szCs w:val="28"/>
              </w:rPr>
            </w:r>
          </w:p>
        </w:tc>
        <w:tc>
          <w:tcPr>
            <w:tcW w:w="347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0833307" protected="1"/>
          </w:tcPr>
          <w:p>
            <w:pPr>
              <w:spacing/>
              <w:jc w:val="center"/>
            </w:pPr>
            <w:r>
              <w:rPr>
                <w:sz w:val="28"/>
                <w:szCs w:val="28"/>
              </w:rPr>
              <w:t>2.570</w:t>
            </w:r>
            <w:r/>
          </w:p>
        </w:tc>
      </w:tr>
      <w:tr>
        <w:trPr>
          <w:trHeight w:val="0" w:hRule="auto"/>
        </w:trPr>
        <w:tc>
          <w:tcPr>
            <w:tcW w:w="61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307" protected="1"/>
          </w:tcPr>
          <w:p>
            <w:pPr>
              <w:spacing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6.</w:t>
            </w:r>
            <w:r>
              <w:rPr>
                <w:sz w:val="28"/>
              </w:rPr>
            </w:r>
          </w:p>
        </w:tc>
        <w:tc>
          <w:tcPr>
            <w:tcW w:w="522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307" protected="1"/>
          </w:tcPr>
          <w:p>
            <w:pPr>
              <w:spacing/>
              <w:jc w:val="both"/>
              <w:rPr>
                <w:sz w:val="28"/>
              </w:rPr>
            </w:pPr>
            <w:r>
              <w:rPr>
                <w:sz w:val="28"/>
              </w:rPr>
              <w:t>Közművelődési, könyvtári és sportfeladatok támogatása</w:t>
            </w:r>
          </w:p>
        </w:tc>
        <w:tc>
          <w:tcPr>
            <w:tcW w:w="347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0833307" protected="1"/>
          </w:tcPr>
          <w:p>
            <w:pPr>
              <w:spacing/>
              <w:jc w:val="center"/>
            </w:pPr>
            <w:r>
              <w:rPr>
                <w:sz w:val="28"/>
              </w:rPr>
              <w:t>23.936</w:t>
            </w:r>
            <w:r/>
          </w:p>
        </w:tc>
      </w:tr>
      <w:tr>
        <w:trPr>
          <w:trHeight w:val="0" w:hRule="auto"/>
        </w:trPr>
        <w:tc>
          <w:tcPr>
            <w:tcW w:w="61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307" protected="1"/>
          </w:tcPr>
          <w:p>
            <w:pPr>
              <w:spacing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7.</w:t>
            </w:r>
            <w:r>
              <w:rPr>
                <w:sz w:val="28"/>
              </w:rPr>
            </w:r>
          </w:p>
        </w:tc>
        <w:tc>
          <w:tcPr>
            <w:tcW w:w="522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307" protected="1"/>
          </w:tcPr>
          <w:p>
            <w:pPr>
              <w:spacing/>
              <w:jc w:val="both"/>
              <w:rPr>
                <w:sz w:val="28"/>
              </w:rPr>
            </w:pPr>
            <w:r>
              <w:rPr>
                <w:sz w:val="28"/>
              </w:rPr>
              <w:t>Családsegítő és gyermekjóléti szolgálat működtetésének támogatása</w:t>
            </w:r>
          </w:p>
        </w:tc>
        <w:tc>
          <w:tcPr>
            <w:tcW w:w="347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0833307" protected="1"/>
          </w:tcPr>
          <w:p>
            <w:pPr>
              <w:spacing/>
              <w:jc w:val="center"/>
            </w:pPr>
            <w:r>
              <w:rPr>
                <w:sz w:val="28"/>
              </w:rPr>
              <w:t>3.110</w:t>
            </w:r>
            <w:r/>
          </w:p>
        </w:tc>
      </w:tr>
      <w:tr>
        <w:trPr>
          <w:trHeight w:val="0" w:hRule="auto"/>
        </w:trPr>
        <w:tc>
          <w:tcPr>
            <w:tcW w:w="61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307" protected="1"/>
          </w:tcPr>
          <w:p>
            <w:pPr>
              <w:spacing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8.</w:t>
            </w:r>
            <w:r>
              <w:rPr>
                <w:sz w:val="28"/>
              </w:rPr>
            </w:r>
          </w:p>
        </w:tc>
        <w:tc>
          <w:tcPr>
            <w:tcW w:w="522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307" protected="1"/>
          </w:tcPr>
          <w:p>
            <w:pPr>
              <w:spacing/>
              <w:jc w:val="both"/>
              <w:rPr>
                <w:sz w:val="28"/>
              </w:rPr>
            </w:pPr>
            <w:r>
              <w:rPr>
                <w:sz w:val="28"/>
              </w:rPr>
              <w:t>Orosházi Kistérségi társulás tagdíj</w:t>
            </w:r>
          </w:p>
        </w:tc>
        <w:tc>
          <w:tcPr>
            <w:tcW w:w="347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0833307" protected="1"/>
          </w:tcPr>
          <w:p>
            <w:pPr>
              <w:spacing/>
              <w:jc w:val="center"/>
            </w:pPr>
            <w:r>
              <w:rPr>
                <w:sz w:val="28"/>
              </w:rPr>
              <w:t>780</w:t>
            </w:r>
            <w:r/>
          </w:p>
        </w:tc>
      </w:tr>
      <w:tr>
        <w:trPr>
          <w:trHeight w:val="0" w:hRule="auto"/>
        </w:trPr>
        <w:tc>
          <w:tcPr>
            <w:tcW w:w="61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307" protected="1"/>
          </w:tcPr>
          <w:p>
            <w:pPr>
              <w:spacing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9.</w:t>
            </w:r>
            <w:r>
              <w:rPr>
                <w:sz w:val="28"/>
              </w:rPr>
            </w:r>
          </w:p>
        </w:tc>
        <w:tc>
          <w:tcPr>
            <w:tcW w:w="522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307" protected="1"/>
          </w:tcPr>
          <w:p>
            <w:pPr>
              <w:spacing/>
              <w:jc w:val="both"/>
              <w:rPr>
                <w:sz w:val="28"/>
              </w:rPr>
            </w:pPr>
            <w:r>
              <w:rPr>
                <w:sz w:val="28"/>
              </w:rPr>
              <w:t>DAREH működési hozzájárulás</w:t>
            </w:r>
          </w:p>
        </w:tc>
        <w:tc>
          <w:tcPr>
            <w:tcW w:w="347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0833307" protected="1"/>
          </w:tcPr>
          <w:p>
            <w:pPr>
              <w:spacing/>
              <w:jc w:val="center"/>
            </w:pPr>
            <w:r>
              <w:rPr>
                <w:sz w:val="28"/>
              </w:rPr>
              <w:t>350</w:t>
            </w:r>
            <w:r/>
          </w:p>
        </w:tc>
      </w:tr>
      <w:tr>
        <w:trPr>
          <w:trHeight w:val="0" w:hRule="auto"/>
        </w:trPr>
        <w:tc>
          <w:tcPr>
            <w:tcW w:w="61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307" protected="1"/>
          </w:tcPr>
          <w:p>
            <w:pPr>
              <w:spacing/>
              <w:jc w:val="center"/>
              <w:rPr>
                <w:sz w:val="28"/>
              </w:rPr>
            </w:pPr>
            <w:r>
              <w:rPr>
                <w:b/>
                <w:sz w:val="28"/>
              </w:rPr>
              <w:t>10</w:t>
            </w:r>
            <w:r>
              <w:rPr>
                <w:sz w:val="28"/>
              </w:rPr>
            </w:r>
          </w:p>
        </w:tc>
        <w:tc>
          <w:tcPr>
            <w:tcW w:w="522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307" protected="1"/>
          </w:tcPr>
          <w:p>
            <w:pPr>
              <w:spacing/>
              <w:jc w:val="both"/>
              <w:rPr>
                <w:sz w:val="28"/>
              </w:rPr>
            </w:pPr>
            <w:r>
              <w:rPr>
                <w:sz w:val="28"/>
              </w:rPr>
              <w:t>Közép-Békési Térség Ivóvízminőség-javító Önkormányzati működési hozzájárulás</w:t>
            </w:r>
          </w:p>
        </w:tc>
        <w:tc>
          <w:tcPr>
            <w:tcW w:w="347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0833307" protected="1"/>
          </w:tcPr>
          <w:p>
            <w:pPr>
              <w:spacing/>
              <w:jc w:val="center"/>
            </w:pPr>
            <w:r>
              <w:rPr>
                <w:sz w:val="28"/>
              </w:rPr>
              <w:t>120</w:t>
            </w:r>
            <w:r/>
          </w:p>
        </w:tc>
      </w:tr>
      <w:tr>
        <w:trPr>
          <w:trHeight w:val="0" w:hRule="auto"/>
        </w:trPr>
        <w:tc>
          <w:tcPr>
            <w:tcW w:w="61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307" protected="1"/>
          </w:tcPr>
          <w:p>
            <w:pPr>
              <w:tabs>
                <w:tab w:val="center" w:pos="235" w:leader="none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ab/>
              <w:t>11.</w:t>
            </w:r>
          </w:p>
        </w:tc>
        <w:tc>
          <w:tcPr>
            <w:tcW w:w="522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307" protected="1"/>
          </w:tcPr>
          <w:p>
            <w:pPr>
              <w:spacing/>
              <w:jc w:val="both"/>
              <w:rPr>
                <w:sz w:val="28"/>
              </w:rPr>
            </w:pPr>
            <w:r>
              <w:rPr>
                <w:sz w:val="28"/>
              </w:rPr>
              <w:t>Bursa Hungarica ösztöndíj pályázat</w:t>
            </w:r>
          </w:p>
        </w:tc>
        <w:tc>
          <w:tcPr>
            <w:tcW w:w="347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0833307" protected="1"/>
          </w:tcPr>
          <w:p>
            <w:pPr>
              <w:spacing/>
              <w:jc w:val="center"/>
              <w:rPr>
                <w:sz w:val="28"/>
              </w:rPr>
            </w:pPr>
            <w:r>
              <w:rPr>
                <w:sz w:val="28"/>
              </w:rPr>
              <w:t>600</w:t>
            </w:r>
          </w:p>
        </w:tc>
      </w:tr>
      <w:tr>
        <w:trPr>
          <w:trHeight w:val="0" w:hRule="auto"/>
        </w:trPr>
        <w:tc>
          <w:tcPr>
            <w:tcW w:w="61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307" protected="1"/>
          </w:tcPr>
          <w:p>
            <w:pPr>
              <w:spacing/>
              <w:jc w:val="center"/>
              <w:tabs>
                <w:tab w:val="center" w:pos="235" w:leader="none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>12.</w:t>
            </w:r>
          </w:p>
        </w:tc>
        <w:tc>
          <w:tcPr>
            <w:tcW w:w="522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307" protected="1"/>
          </w:tcPr>
          <w:p>
            <w:pPr>
              <w:spacing/>
              <w:jc w:val="both"/>
              <w:rPr>
                <w:sz w:val="28"/>
              </w:rPr>
            </w:pPr>
            <w:r>
              <w:rPr>
                <w:sz w:val="28"/>
              </w:rPr>
              <w:t>Könyvtár állománygyarapítás</w:t>
            </w:r>
          </w:p>
        </w:tc>
        <w:tc>
          <w:tcPr>
            <w:tcW w:w="347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0833307" protected="1"/>
          </w:tcPr>
          <w:p>
            <w:pPr>
              <w:spacing/>
              <w:jc w:val="center"/>
              <w:rPr>
                <w:sz w:val="28"/>
              </w:rPr>
            </w:pPr>
            <w:r>
              <w:rPr>
                <w:sz w:val="28"/>
              </w:rPr>
              <w:t>283</w:t>
            </w:r>
          </w:p>
        </w:tc>
      </w:tr>
      <w:tr>
        <w:trPr>
          <w:trHeight w:val="316" w:hRule="atLeast"/>
        </w:trPr>
        <w:tc>
          <w:tcPr>
            <w:tcW w:w="61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307" protected="1"/>
          </w:tcPr>
          <w:p>
            <w:pPr>
              <w: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13.</w:t>
            </w:r>
          </w:p>
        </w:tc>
        <w:tc>
          <w:tcPr>
            <w:tcW w:w="522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307" protected="1"/>
          </w:tcPr>
          <w:p>
            <w:pPr>
              <w:spacing/>
              <w:jc w:val="both"/>
              <w:rPr>
                <w:sz w:val="28"/>
              </w:rPr>
            </w:pPr>
            <w:r>
              <w:rPr>
                <w:sz w:val="28"/>
              </w:rPr>
              <w:t>Evangélikus Egyház támogatása</w:t>
            </w:r>
          </w:p>
        </w:tc>
        <w:tc>
          <w:tcPr>
            <w:tcW w:w="347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0833307" protected="1"/>
          </w:tcPr>
          <w:p>
            <w:pPr>
              <w:spacing/>
              <w:jc w:val="center"/>
              <w:rPr>
                <w:sz w:val="28"/>
              </w:rPr>
            </w:pPr>
            <w:r>
              <w:rPr>
                <w:sz w:val="28"/>
              </w:rPr>
              <w:t>300</w:t>
            </w:r>
          </w:p>
        </w:tc>
      </w:tr>
      <w:tr>
        <w:trPr>
          <w:trHeight w:val="316" w:hRule="atLeast"/>
        </w:trPr>
        <w:tc>
          <w:tcPr>
            <w:tcW w:w="61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307" protected="1"/>
          </w:tcPr>
          <w:p>
            <w:pPr>
              <w: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14.</w:t>
            </w:r>
          </w:p>
        </w:tc>
        <w:tc>
          <w:tcPr>
            <w:tcW w:w="522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307" protected="1"/>
          </w:tcPr>
          <w:p>
            <w:pPr>
              <w:spacing/>
              <w:jc w:val="both"/>
              <w:rPr>
                <w:sz w:val="28"/>
              </w:rPr>
            </w:pPr>
            <w:r>
              <w:rPr>
                <w:sz w:val="28"/>
              </w:rPr>
              <w:t>Elvonások, befizetések</w:t>
            </w:r>
          </w:p>
        </w:tc>
        <w:tc>
          <w:tcPr>
            <w:tcW w:w="347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0833307" protected="1"/>
          </w:tcPr>
          <w:p>
            <w:pPr>
              <w:spacing/>
              <w:jc w:val="center"/>
              <w:rPr>
                <w:sz w:val="28"/>
              </w:rPr>
            </w:pPr>
            <w:r>
              <w:rPr>
                <w:sz w:val="28"/>
              </w:rPr>
              <w:t>1506</w:t>
            </w:r>
          </w:p>
        </w:tc>
      </w:tr>
      <w:tr>
        <w:trPr>
          <w:trHeight w:val="316" w:hRule="atLeast"/>
        </w:trPr>
        <w:tc>
          <w:tcPr>
            <w:tcW w:w="61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307" protected="1"/>
          </w:tcPr>
          <w:p>
            <w:pPr>
              <w: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15.</w:t>
            </w:r>
          </w:p>
        </w:tc>
        <w:tc>
          <w:tcPr>
            <w:tcW w:w="522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307" protected="1"/>
          </w:tcPr>
          <w:p>
            <w:pPr>
              <w:spacing/>
              <w:jc w:val="both"/>
              <w:rPr>
                <w:sz w:val="28"/>
              </w:rPr>
            </w:pPr>
            <w:r>
              <w:rPr>
                <w:b/>
                <w:sz w:val="28"/>
              </w:rPr>
              <w:t>Működési célú pénzeszköz átadás:</w:t>
            </w:r>
            <w:r>
              <w:rPr>
                <w:sz w:val="28"/>
              </w:rPr>
            </w:r>
          </w:p>
        </w:tc>
        <w:tc>
          <w:tcPr>
            <w:tcW w:w="347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0833307" protected="1"/>
          </w:tcPr>
          <w:p>
            <w:pPr>
              <w:spacing/>
              <w:jc w:val="both"/>
            </w:pPr>
            <w:r>
              <w:rPr>
                <w:sz w:val="28"/>
              </w:rPr>
              <w:t xml:space="preserve">                  </w:t>
            </w:r>
            <w:r>
              <w:rPr>
                <w:b/>
                <w:sz w:val="28"/>
              </w:rPr>
              <w:t>35.293</w:t>
            </w:r>
            <w:r/>
          </w:p>
        </w:tc>
      </w:tr>
      <w:tr>
        <w:trPr>
          <w:trHeight w:val="2335" w:hRule="atLeast"/>
        </w:trPr>
        <w:tc>
          <w:tcPr>
            <w:tcW w:w="61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307" protected="1"/>
          </w:tcPr>
          <w:p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16.</w:t>
            </w:r>
          </w:p>
          <w:p>
            <w:pPr>
              <w: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</w:r>
          </w:p>
        </w:tc>
        <w:tc>
          <w:tcPr>
            <w:tcW w:w="5220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50833307" protected="1"/>
          </w:tcPr>
          <w:p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>Közvetett támogatások</w:t>
            </w:r>
          </w:p>
          <w:p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>A helyi iparűzési adóról szóló 19/1995. (XII.29.) rendelet 4.§ (2) bekezdése szerint a 2017. május 31-ig benyújtandó és feldolgozandó bevallások alapján a várható kedvezmény:</w:t>
            </w:r>
          </w:p>
          <w:p>
            <w:pPr>
              <w:spacing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500 e Ft-ot el nem érő adóalap adókedvezménye:</w:t>
            </w:r>
          </w:p>
        </w:tc>
        <w:tc>
          <w:tcPr>
            <w:tcW w:w="3472" w:type="dxa"/>
            <w:tcMar>
              <w:top w:w="0" w:type="dxa"/>
              <w:left w:w="70" w:type="dxa"/>
              <w:bottom w:w="0" w:type="dxa"/>
              <w:right w:w="70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50833307" protected="1"/>
          </w:tcPr>
          <w:p>
            <w:pPr>
              <w:spacing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</w:r>
          </w:p>
          <w:p>
            <w:pPr>
              <w:spacing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</w:r>
          </w:p>
          <w:p>
            <w:pPr>
              <w:spacing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</w:r>
          </w:p>
          <w:p>
            <w:pPr>
              <w:spacing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</w:r>
          </w:p>
          <w:p>
            <w:pPr>
              <w:spacing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</w:r>
          </w:p>
          <w:p>
            <w:pPr>
              <w:spacing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</w:r>
          </w:p>
          <w:p>
            <w:pPr>
              <w:spacing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</w:r>
          </w:p>
          <w:p>
            <w:pPr>
              <w:spacing/>
              <w:jc w:val="center"/>
            </w:pPr>
            <w:r>
              <w:rPr>
                <w:bCs/>
                <w:sz w:val="28"/>
              </w:rPr>
              <w:t>300</w:t>
            </w:r>
            <w:r/>
          </w:p>
        </w:tc>
      </w:tr>
    </w:tbl>
    <w:p>
      <w:r>
        <w:t>„</w:t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6838" w:w="11906"/>
      <w:pgMar w:left="1417" w:top="1417" w:right="1417" w:bottom="1417"/>
      <w:paperSrc w:first="0" w:other="0"/>
      <w:pgNumType w:fmt="decimal"/>
      <w:tmGutter w:val="3"/>
      <w:mirrorMargins w:val="0"/>
      <w:tmSection w:h="-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00"/>
    <w:family w:val="swiss"/>
    <w:pitch w:val="default"/>
  </w:font>
  <w:font w:name="Lucida Sans Unicode">
    <w:panose1 w:val="020B0602030504020204"/>
    <w:charset w:val="ee"/>
    <w:family w:val="swiss"/>
    <w:pitch w:val="default"/>
  </w:font>
  <w:font w:name="Mangal">
    <w:panose1 w:val="02040503050203030202"/>
    <w:charset w:val="00"/>
    <w:family w:val="roman"/>
    <w:pitch w:val="default"/>
  </w:font>
  <w:font w:name="MS Sans Serif">
    <w:panose1 w:val="02020603050405020304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NoNumList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multiLevelType w:val="hybridMultilevel"/>
    <w:name w:val="WW8Num1"/>
    <w:lvl w:ilvl="0">
      <w:start w:val="1"/>
      <w:numFmt w:val="none"/>
      <w:pStyle w:val="para1"/>
      <w:suff w:val="nothing"/>
      <w:lvlText w:val=""/>
      <w:lvlJc w:val="left"/>
      <w:pPr>
        <w:ind w:left="0" w:hanging="0"/>
      </w:pPr>
    </w:lvl>
    <w:lvl w:ilvl="1">
      <w:start w:val="1"/>
      <w:numFmt w:val="none"/>
      <w:pStyle w:val="para2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Táblázat" w:pos="below" w:numFmt="decimal"/>
    <w:caption w:name="Ábra" w:pos="below" w:numFmt="decimal"/>
    <w:caption w:name="Kép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/>
  <w:shapeDefaults>
    <o:shapedefaults v:ext="edit" spidmax="1026"/>
    <o:shapelayout v:ext="edit">
      <o:rules v:ext="edit"/>
    </o:shapelayout>
  </w:shapeDefaults>
  <w:tmPrefOne w:val="17"/>
  <w:tmPrefTwo w:val="0"/>
  <w:tmFmtPref w:val="189283691"/>
  <w:tmCommentsPr>
    <w:tmCommentsPlace w:val="0"/>
    <w:tmCommentsWidth w:val="3119"/>
    <w:tmCommentsColor w:val="-1"/>
  </w:tmCommentsPr>
  <w:tmReviewPr>
    <w:tmReviewEnabled w:val="0"/>
    <w:tmReviewShow w:val="1"/>
    <w:tmReviewPrint w:val="1"/>
    <w:tmRevisionNum w:val="3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29"/>
    <w:tmLastPosCaret>
      <w:tmLastPosPgfIdx w:val="0"/>
      <w:tmLastPosIdx w:val="27"/>
    </w:tmLastPosCaret>
    <w:tmLastPosAnchor>
      <w:tmLastPosPgfIdx w:val="0"/>
      <w:tmLastPosIdx w:val="0"/>
    </w:tmLastPosAnchor>
    <w:tmLastPosTblRect w:left="0" w:top="0" w:right="0" w:bottom="0"/>
  </w:tmLastPos>
  <w:tmAppRevision w:date="1550833307" w:val="944" w:fileVer="341" w:fileVerOS="4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sz w:val="20"/>
        <w:szCs w:val="20"/>
        <w:noProof w:val="1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suppressAutoHyphens/>
      <w:hyphenationLines w:val="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sz w:val="24"/>
      <w:szCs w:val="24"/>
      <w:lang w:val="hu-hu" w:eastAsia="zh-cn" w:bidi="ar-sa"/>
    </w:rPr>
  </w:style>
  <w:style w:type="paragraph" w:styleId="para1">
    <w:name w:val="heading 1"/>
    <w:qFormat/>
    <w:basedOn w:val="para0"/>
    <w:next w:val="para0"/>
    <w:pPr>
      <w:numPr>
        <w:ilvl w:val="0"/>
        <w:numId w:val="1"/>
      </w:numPr>
      <w:ind w:left="432" w:hanging="432"/>
      <w:spacing/>
      <w:jc w:val="center"/>
      <w:keepNext/>
      <w:outlineLvl w:val="0"/>
      <w:tabs>
        <w:tab w:val="left" w:pos="0" w:leader="none"/>
      </w:tabs>
    </w:pPr>
    <w:rPr>
      <w:b/>
      <w:bCs/>
      <w:sz w:val="28"/>
    </w:rPr>
  </w:style>
  <w:style w:type="paragraph" w:styleId="para2">
    <w:name w:val="heading 2"/>
    <w:qFormat/>
    <w:basedOn w:val="para0"/>
    <w:next w:val="para0"/>
    <w:pPr>
      <w:numPr>
        <w:ilvl w:val="1"/>
        <w:numId w:val="1"/>
      </w:numPr>
      <w:ind w:left="576" w:hanging="576"/>
      <w:spacing/>
      <w:jc w:val="both"/>
      <w:keepNext/>
      <w:outlineLvl w:val="1"/>
      <w:tabs>
        <w:tab w:val="left" w:pos="0" w:leader="none"/>
      </w:tabs>
    </w:pPr>
    <w:rPr>
      <w:sz w:val="28"/>
    </w:rPr>
  </w:style>
  <w:style w:type="paragraph" w:styleId="para3" w:customStyle="1">
    <w:name w:val="Címsor"/>
    <w:qFormat/>
    <w:basedOn w:val="para0"/>
    <w:next w:val="para4"/>
    <w:pPr>
      <w:spacing w:before="240" w:after="120"/>
      <w:keepNext/>
    </w:pPr>
    <w:rPr>
      <w:rFonts w:ascii="Arial" w:hAnsi="Arial" w:eastAsia="Lucida Sans Unicode" w:cs="Mangal"/>
      <w:sz w:val="28"/>
      <w:szCs w:val="28"/>
    </w:rPr>
  </w:style>
  <w:style w:type="paragraph" w:styleId="para4">
    <w:name w:val="Body Text"/>
    <w:qFormat/>
    <w:basedOn w:val="para0"/>
    <w:pPr>
      <w:spacing w:after="120"/>
    </w:pPr>
  </w:style>
  <w:style w:type="paragraph" w:styleId="para5">
    <w:name w:val="List"/>
    <w:qFormat/>
    <w:basedOn w:val="para4"/>
    <w:rPr>
      <w:rFonts w:cs="Mangal"/>
    </w:rPr>
  </w:style>
  <w:style w:type="paragraph" w:styleId="para6">
    <w:name w:val="caption"/>
    <w:qFormat/>
    <w:basedOn w:val="para0"/>
    <w:pPr>
      <w:spacing w:before="120" w:after="120"/>
      <w:suppressLineNumbers/>
    </w:pPr>
    <w:rPr>
      <w:rFonts w:cs="Mangal"/>
      <w:i/>
      <w:iCs/>
    </w:rPr>
  </w:style>
  <w:style w:type="paragraph" w:styleId="para7" w:customStyle="1">
    <w:name w:val="Tárgymutató"/>
    <w:qFormat/>
    <w:basedOn w:val="para0"/>
    <w:pPr>
      <w:suppressLineNumbers/>
    </w:pPr>
    <w:rPr>
      <w:rFonts w:cs="Mangal"/>
    </w:rPr>
  </w:style>
  <w:style w:type="paragraph" w:styleId="para8" w:customStyle="1">
    <w:name w:val="Táblázattartalom"/>
    <w:qFormat/>
    <w:basedOn w:val="para0"/>
    <w:pPr>
      <w:suppressLineNumbers/>
    </w:pPr>
  </w:style>
  <w:style w:type="paragraph" w:styleId="para9" w:customStyle="1">
    <w:name w:val="Táblázatfejléc"/>
    <w:qFormat/>
    <w:basedOn w:val="para8"/>
    <w:pPr>
      <w:spacing/>
      <w:jc w:val="center"/>
    </w:pPr>
    <w:rPr>
      <w:b/>
      <w:bCs/>
    </w:rPr>
  </w:style>
  <w:style w:type="character" w:styleId="char0" w:default="1">
    <w:name w:val="Default Paragraph Font"/>
    <w:basedOn w:val="char0"/>
  </w:style>
  <w:style w:type="character" w:styleId="char1" w:customStyle="1">
    <w:name w:val="WW8Num1z0"/>
  </w:style>
  <w:style w:type="character" w:styleId="char2" w:customStyle="1">
    <w:name w:val="WW8Num1z1"/>
  </w:style>
  <w:style w:type="character" w:styleId="char3" w:customStyle="1">
    <w:name w:val="WW8Num1z2"/>
  </w:style>
  <w:style w:type="character" w:styleId="char4" w:customStyle="1">
    <w:name w:val="WW8Num1z3"/>
  </w:style>
  <w:style w:type="character" w:styleId="char5" w:customStyle="1">
    <w:name w:val="WW8Num1z4"/>
  </w:style>
  <w:style w:type="character" w:styleId="char6" w:customStyle="1">
    <w:name w:val="WW8Num1z5"/>
  </w:style>
  <w:style w:type="character" w:styleId="char7" w:customStyle="1">
    <w:name w:val="WW8Num1z6"/>
  </w:style>
  <w:style w:type="character" w:styleId="char8" w:customStyle="1">
    <w:name w:val="WW8Num1z7"/>
  </w:style>
  <w:style w:type="character" w:styleId="char9" w:customStyle="1">
    <w:name w:val="WW8Num1z8"/>
  </w:style>
  <w:style w:type="character" w:styleId="char10" w:customStyle="1">
    <w:name w:val="Bekezdés alap-betűtípusa2"/>
  </w:style>
  <w:style w:type="character" w:styleId="char11" w:customStyle="1">
    <w:name w:val="Bekezdés alap-betűtípus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Times New Roman" w:cs="Times New Roman"/>
        <w:sz w:val="20"/>
        <w:szCs w:val="20"/>
        <w:noProof w:val="1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para0" w:default="1">
    <w:name w:val="Normal"/>
    <w:qFormat/>
    <w:pPr>
      <w:suppressAutoHyphens/>
      <w:hyphenationLines w:val="0"/>
      <w:pBdr>
        <w:top w:val="nil" w:sz="0" w:space="0" w:color="000000" tmln="20, 20, 20, 0, 0"/>
        <w:left w:val="nil" w:sz="0" w:space="0" w:color="000000" tmln="20, 20, 20, 0, 0"/>
        <w:bottom w:val="nil" w:sz="0" w:space="0" w:color="000000" tmln="20, 20, 20, 0, 0"/>
        <w:right w:val="nil" w:sz="0" w:space="0" w:color="000000" tmln="20, 20, 20, 0, 0"/>
        <w:between w:val="nil" w:sz="0" w:space="0" w:color="000000" tmln="20, 20, 20, 0, 0"/>
      </w:pBdr>
      <w:shd w:val="none"/>
    </w:pPr>
    <w:rPr>
      <w:sz w:val="24"/>
      <w:szCs w:val="24"/>
      <w:lang w:val="hu-hu" w:eastAsia="zh-cn" w:bidi="ar-sa"/>
    </w:rPr>
  </w:style>
  <w:style w:type="paragraph" w:styleId="para1">
    <w:name w:val="heading 1"/>
    <w:qFormat/>
    <w:basedOn w:val="para0"/>
    <w:next w:val="para0"/>
    <w:pPr>
      <w:numPr>
        <w:ilvl w:val="0"/>
        <w:numId w:val="1"/>
      </w:numPr>
      <w:ind w:left="432" w:hanging="432"/>
      <w:spacing/>
      <w:jc w:val="center"/>
      <w:keepNext/>
      <w:outlineLvl w:val="0"/>
      <w:tabs>
        <w:tab w:val="left" w:pos="0" w:leader="none"/>
      </w:tabs>
    </w:pPr>
    <w:rPr>
      <w:b/>
      <w:bCs/>
      <w:sz w:val="28"/>
    </w:rPr>
  </w:style>
  <w:style w:type="paragraph" w:styleId="para2">
    <w:name w:val="heading 2"/>
    <w:qFormat/>
    <w:basedOn w:val="para0"/>
    <w:next w:val="para0"/>
    <w:pPr>
      <w:numPr>
        <w:ilvl w:val="1"/>
        <w:numId w:val="1"/>
      </w:numPr>
      <w:ind w:left="576" w:hanging="576"/>
      <w:spacing/>
      <w:jc w:val="both"/>
      <w:keepNext/>
      <w:outlineLvl w:val="1"/>
      <w:tabs>
        <w:tab w:val="left" w:pos="0" w:leader="none"/>
      </w:tabs>
    </w:pPr>
    <w:rPr>
      <w:sz w:val="28"/>
    </w:rPr>
  </w:style>
  <w:style w:type="paragraph" w:styleId="para3" w:customStyle="1">
    <w:name w:val="Címsor"/>
    <w:qFormat/>
    <w:basedOn w:val="para0"/>
    <w:next w:val="para4"/>
    <w:pPr>
      <w:spacing w:before="240" w:after="120"/>
      <w:keepNext/>
    </w:pPr>
    <w:rPr>
      <w:rFonts w:ascii="Arial" w:hAnsi="Arial" w:eastAsia="Lucida Sans Unicode" w:cs="Mangal"/>
      <w:sz w:val="28"/>
      <w:szCs w:val="28"/>
    </w:rPr>
  </w:style>
  <w:style w:type="paragraph" w:styleId="para4">
    <w:name w:val="Body Text"/>
    <w:qFormat/>
    <w:basedOn w:val="para0"/>
    <w:pPr>
      <w:spacing w:after="120"/>
    </w:pPr>
  </w:style>
  <w:style w:type="paragraph" w:styleId="para5">
    <w:name w:val="List"/>
    <w:qFormat/>
    <w:basedOn w:val="para4"/>
    <w:rPr>
      <w:rFonts w:cs="Mangal"/>
    </w:rPr>
  </w:style>
  <w:style w:type="paragraph" w:styleId="para6">
    <w:name w:val="caption"/>
    <w:qFormat/>
    <w:basedOn w:val="para0"/>
    <w:pPr>
      <w:spacing w:before="120" w:after="120"/>
      <w:suppressLineNumbers/>
    </w:pPr>
    <w:rPr>
      <w:rFonts w:cs="Mangal"/>
      <w:i/>
      <w:iCs/>
    </w:rPr>
  </w:style>
  <w:style w:type="paragraph" w:styleId="para7" w:customStyle="1">
    <w:name w:val="Tárgymutató"/>
    <w:qFormat/>
    <w:basedOn w:val="para0"/>
    <w:pPr>
      <w:suppressLineNumbers/>
    </w:pPr>
    <w:rPr>
      <w:rFonts w:cs="Mangal"/>
    </w:rPr>
  </w:style>
  <w:style w:type="paragraph" w:styleId="para8" w:customStyle="1">
    <w:name w:val="Táblázattartalom"/>
    <w:qFormat/>
    <w:basedOn w:val="para0"/>
    <w:pPr>
      <w:suppressLineNumbers/>
    </w:pPr>
  </w:style>
  <w:style w:type="paragraph" w:styleId="para9" w:customStyle="1">
    <w:name w:val="Táblázatfejléc"/>
    <w:qFormat/>
    <w:basedOn w:val="para8"/>
    <w:pPr>
      <w:spacing/>
      <w:jc w:val="center"/>
    </w:pPr>
    <w:rPr>
      <w:b/>
      <w:bCs/>
    </w:rPr>
  </w:style>
  <w:style w:type="character" w:styleId="char0" w:default="1">
    <w:name w:val="Default Paragraph Font"/>
    <w:basedOn w:val="char0"/>
  </w:style>
  <w:style w:type="character" w:styleId="char1" w:customStyle="1">
    <w:name w:val="WW8Num1z0"/>
  </w:style>
  <w:style w:type="character" w:styleId="char2" w:customStyle="1">
    <w:name w:val="WW8Num1z1"/>
  </w:style>
  <w:style w:type="character" w:styleId="char3" w:customStyle="1">
    <w:name w:val="WW8Num1z2"/>
  </w:style>
  <w:style w:type="character" w:styleId="char4" w:customStyle="1">
    <w:name w:val="WW8Num1z3"/>
  </w:style>
  <w:style w:type="character" w:styleId="char5" w:customStyle="1">
    <w:name w:val="WW8Num1z4"/>
  </w:style>
  <w:style w:type="character" w:styleId="char6" w:customStyle="1">
    <w:name w:val="WW8Num1z5"/>
  </w:style>
  <w:style w:type="character" w:styleId="char7" w:customStyle="1">
    <w:name w:val="WW8Num1z6"/>
  </w:style>
  <w:style w:type="character" w:styleId="char8" w:customStyle="1">
    <w:name w:val="WW8Num1z7"/>
  </w:style>
  <w:style w:type="character" w:styleId="char9" w:customStyle="1">
    <w:name w:val="WW8Num1z8"/>
  </w:style>
  <w:style w:type="character" w:styleId="char10" w:customStyle="1">
    <w:name w:val="Bekezdés alap-betűtípusa2"/>
  </w:style>
  <w:style w:type="character" w:styleId="char11" w:customStyle="1">
    <w:name w:val="Bekezdés alap-betűtípus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rev.944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</dc:title>
  <dc:subject/>
  <dc:creator>arany</dc:creator>
  <cp:keywords/>
  <dc:description/>
  <cp:lastModifiedBy/>
  <cp:revision>3</cp:revision>
  <cp:lastPrinted>2018-02-20T07:10:00Z</cp:lastPrinted>
  <dcterms:created xsi:type="dcterms:W3CDTF">2019-02-22T05:52:00Z</dcterms:created>
  <dcterms:modified xsi:type="dcterms:W3CDTF">2019-02-22T11:01:47Z</dcterms:modified>
</cp:coreProperties>
</file>