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-906"/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right="-906"/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right="-906"/>
        <w:spacing/>
        <w:jc w:val="center"/>
        <w:rPr>
          <w:sz w:val="32"/>
          <w:szCs w:val="32"/>
        </w:rPr>
      </w:pPr>
      <w:r>
        <w:t>15. melléklet az önkormányzat 2018. évi zárszámadásáról szóló …./2019. (….) önkormányzati rendelethez</w:t>
      </w:r>
      <w:r>
        <w:rPr>
          <w:sz w:val="32"/>
          <w:szCs w:val="32"/>
        </w:rPr>
      </w:r>
    </w:p>
    <w:p>
      <w:pPr>
        <w:ind w:right="-906"/>
        <w: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ind w:right="-906"/>
        <w: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ind w:right="-906"/>
        <w:spacing/>
        <w:jc w:val="center"/>
      </w:pPr>
      <w:r>
        <w:rPr>
          <w:sz w:val="32"/>
          <w:szCs w:val="32"/>
        </w:rPr>
        <w:t>Az Önkormányzat 2018. évi Egyszerűsített éves pénzforgalmi jelentése</w:t>
      </w: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headerReference w:type="default" r:id="rId7"/>
          <w:footerReference w:type="default" r:id="rId8"/>
          <w:headerReference w:type="first" r:id="rId9"/>
          <w:footerReference w:type="first" r:id="rId10"/>
          <w:type w:val="nextPage"/>
          <w:pgSz w:h="16838" w:w="11906"/>
          <w:pgMar w:left="1134" w:top="816" w:right="1418" w:bottom="2253" w:header="540" w:footer="1977"/>
          <w:paperSrc w:first="0" w:other="0"/>
          <w:pgNumType w:fmt="decimal"/>
          <w:titlePg/>
          <w:tmGutter w:val="3"/>
          <w:mirrorMargins w:val="0"/>
          <w:tmSection w:h="-1">
            <w:tmHeader w:id="0" w:h="0" edge="540" text="0">
              <w:shd w:val="none"/>
            </w:tmHeader>
            <w:tmFooter w:id="0" w:h="0" edge="1977" text="0">
              <w:shd w:val="none"/>
            </w:tmFooter>
            <w:tmHeader w:id="2" w:h="0" edge="540" text="0">
              <w:shd w:val="none"/>
            </w:tmHeader>
            <w:tmFooter w:id="2" w:h="0" edge="1977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r/>
    </w:p>
    <w:p>
      <w:pPr>
        <w:spacing/>
        <w:jc w:val="right"/>
      </w:pPr>
      <w:r>
        <w:rPr>
          <w:b/>
        </w:rPr>
        <w:t>M.e.: ezer Ft</w:t>
      </w:r>
      <w:r/>
    </w:p>
    <w:p>
      <w:pPr>
        <w:spacing/>
        <w:jc w:val="right"/>
      </w:pPr>
      <w:r/>
    </w:p>
    <w:tbl>
      <w:tblPr>
        <w:name w:val="Táblázat1"/>
        <w:tabOrder w:val="0"/>
        <w:jc w:val="left"/>
        <w:tblInd w:w="-138" w:type="dxa"/>
        <w:tblW w:w="10248" w:type="dxa"/>
      </w:tblPr>
      <w:tblGrid>
        <w:gridCol w:w="843"/>
        <w:gridCol w:w="5145"/>
        <w:gridCol w:w="1320"/>
        <w:gridCol w:w="180"/>
        <w:gridCol w:w="1440"/>
        <w:gridCol w:w="1320"/>
      </w:tblGrid>
      <w:tr>
        <w:trPr>
          <w:cantSplit/>
          <w:trHeight w:val="135" w:hRule="atLeast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szCs w:val="20"/>
              </w:rPr>
              <w:t>A</w:t>
            </w:r>
            <w:r>
              <w:rPr>
                <w:b/>
                <w:sz w:val="26"/>
              </w:rPr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</w:rPr>
              <w:t>B</w:t>
            </w:r>
            <w:r>
              <w:rPr>
                <w:b/>
                <w:sz w:val="26"/>
                <w:szCs w:val="20"/>
              </w:rPr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C</w:t>
            </w:r>
          </w:p>
        </w:tc>
        <w:tc>
          <w:tcPr>
            <w:tcW w:w="16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D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</w:pPr>
            <w:r>
              <w:rPr>
                <w:b/>
                <w:sz w:val="26"/>
                <w:szCs w:val="20"/>
              </w:rPr>
              <w:t>E</w:t>
            </w:r>
            <w:r/>
          </w:p>
        </w:tc>
      </w:tr>
      <w:tr>
        <w:trPr>
          <w:cantSplit/>
          <w:trHeight w:val="135" w:hRule="atLeast"/>
        </w:trPr>
        <w:tc>
          <w:tcPr>
            <w:tcW w:w="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  <w:szCs w:val="20"/>
              </w:rPr>
              <w:t>Sor-szám</w:t>
            </w:r>
            <w:r>
              <w:rPr>
                <w:b/>
                <w:bCs/>
                <w:sz w:val="26"/>
              </w:rPr>
            </w:r>
          </w:p>
        </w:tc>
        <w:tc>
          <w:tcPr>
            <w:tcW w:w="51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bCs/>
                <w:sz w:val="26"/>
                <w:szCs w:val="20"/>
              </w:rPr>
            </w:pPr>
            <w:r>
              <w:rPr>
                <w:b/>
                <w:bCs/>
                <w:sz w:val="26"/>
              </w:rPr>
              <w:t>Megnevezés</w:t>
            </w:r>
            <w:r>
              <w:rPr>
                <w:b/>
                <w:bCs/>
                <w:sz w:val="26"/>
                <w:szCs w:val="20"/>
              </w:rPr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bCs/>
                <w:sz w:val="26"/>
                <w:szCs w:val="20"/>
              </w:rPr>
            </w:pPr>
            <w:r>
              <w:rPr>
                <w:b/>
                <w:bCs/>
                <w:sz w:val="26"/>
                <w:szCs w:val="20"/>
              </w:rPr>
              <w:t>Eredeti</w:t>
            </w:r>
          </w:p>
        </w:tc>
        <w:tc>
          <w:tcPr>
            <w:tcW w:w="16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bCs/>
                <w:sz w:val="26"/>
                <w:szCs w:val="20"/>
              </w:rPr>
            </w:pPr>
            <w:r>
              <w:rPr>
                <w:b/>
                <w:bCs/>
                <w:sz w:val="26"/>
                <w:szCs w:val="20"/>
              </w:rPr>
              <w:t>Módosított</w:t>
            </w:r>
          </w:p>
        </w:tc>
        <w:tc>
          <w:tcPr>
            <w:tcW w:w="13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</w:pPr>
            <w:r>
              <w:rPr>
                <w:b/>
                <w:bCs/>
                <w:sz w:val="26"/>
                <w:szCs w:val="20"/>
              </w:rPr>
              <w:t>Teljesítés</w:t>
            </w:r>
            <w:r/>
          </w:p>
        </w:tc>
      </w:tr>
      <w:tr>
        <w:trPr>
          <w:cantSplit/>
          <w:trHeight w:val="135" w:hRule="atLeast"/>
        </w:trPr>
        <w:tc>
          <w:tcPr>
            <w:tcW w:w="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/>
        </w:tc>
        <w:tc>
          <w:tcPr>
            <w:tcW w:w="51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/>
        </w:tc>
        <w:tc>
          <w:tcPr>
            <w:tcW w:w="2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b/>
                <w:bCs/>
                <w:sz w:val="26"/>
                <w:szCs w:val="20"/>
              </w:rPr>
              <w:t>Előirányzat</w:t>
            </w:r>
            <w:r>
              <w:rPr>
                <w:sz w:val="26"/>
              </w:rPr>
            </w:r>
          </w:p>
        </w:tc>
        <w:tc>
          <w:tcPr>
            <w:tcW w:w="13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/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01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Személyi juttatások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305.969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393.238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379.377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02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Munkaadókat terhelő járulékok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59.154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70.147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68.072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03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Dologi kiadások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235.255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290.163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270.190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Ellátottak pénzbeli juttatásai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44.292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45.649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27.978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Egyéb működési célú kiadások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53.561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35.293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35.218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06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Beruházási kiadások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320.991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ind w:left="-108"/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483.665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298.952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07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Felújítási kiadások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3.556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43.390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9.397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08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Egyéb felhalmozási kiadások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12.000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20.000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18.960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09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Belföldi finanszírozási kiadások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Állami támogatás megelőlegezés visszafizetése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17.347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34.261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17.347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11</w:t>
            </w:r>
            <w:r>
              <w:rPr>
                <w:b/>
                <w:sz w:val="26"/>
              </w:rPr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Kiadások összesen: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1.052.125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1.415.806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1.125.491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Önkormányzatok működésének támogatása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463.507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490.003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490.003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Működ. célú támogatások áht-n belülről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44.762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157.076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157.259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Felhalm. célú támogatások áht-n belülről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172.929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172.929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Közhatalmi bevételek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77.000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90.060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90.074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Működési bevételek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95.422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113.736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113.393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Működési célú átvett pénzeszközök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1.663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1.663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Felhalmozási célú átvett pénzeszközök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5.000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6.931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6.931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Felhalmozási bevételek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ind w:left="72"/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60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Maradvány felhasználás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366.434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366.434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366.433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sz w:val="26"/>
              </w:rPr>
            </w:pPr>
            <w:r>
              <w:rPr>
                <w:sz w:val="26"/>
              </w:rPr>
              <w:t>Államházt. belüli megelőlegezése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</w:rPr>
            </w:pPr>
            <w:r>
              <w:rPr>
                <w:sz w:val="26"/>
              </w:rPr>
              <w:t>16.914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16.914</w:t>
            </w:r>
          </w:p>
        </w:tc>
      </w:tr>
      <w:tr>
        <w:trPr>
          <w:trHeight w:val="0" w:hRule="auto"/>
        </w:trPr>
        <w:tc>
          <w:tcPr>
            <w:tcW w:w="84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22</w:t>
            </w:r>
            <w:r>
              <w:rPr>
                <w:b/>
                <w:sz w:val="26"/>
              </w:rPr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rPr>
                <w:b/>
                <w:bCs/>
                <w:sz w:val="26"/>
              </w:rPr>
            </w:pPr>
            <w:r>
              <w:rPr>
                <w:b/>
                <w:sz w:val="26"/>
              </w:rPr>
              <w:t>Bevételek összesen:</w:t>
            </w:r>
            <w:r>
              <w:rPr>
                <w:b/>
                <w:bCs/>
                <w:sz w:val="26"/>
              </w:rPr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1.052.125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1.415.806</w:t>
            </w:r>
          </w:p>
        </w:tc>
        <w:tc>
          <w:tcPr>
            <w:tcW w:w="13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1903" protected="1"/>
          </w:tcPr>
          <w:p>
            <w:pPr>
              <w: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1.415.659</w:t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continuous"/>
          <w:pgSz w:h="16838" w:w="11906"/>
          <w:pgMar w:left="1134" w:top="816" w:right="1418" w:bottom="2253"/>
          <w:paperSrc w:first="0" w:other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/>
        <w:jc w:val="center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8" w:w="11906"/>
      <w:pgMar w:left="1134" w:top="816" w:right="1418" w:bottom="2253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hidden="0" allowOverlap="1">
              <wp:simplePos x="0" y="0"/>
              <wp:positionH relativeFrom="column">
                <wp:posOffset>3632835</wp:posOffset>
              </wp:positionH>
              <wp:positionV relativeFrom="paragraph">
                <wp:posOffset>635</wp:posOffset>
              </wp:positionV>
              <wp:extent cx="88265" cy="20320"/>
              <wp:effectExtent l="9525" t="9525" r="9525" b="9525"/>
              <wp:wrapSquare wrapText="largest"/>
              <wp:docPr id="1" name="Téglalap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val="SMDATA_14_b+nKXBMAAAAlAAAAZA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ggAAEwAAAAAAAAAAAAAAAgAAAFkWAAAAAAAAAgAAAAEAAACLAAAAIAAAAAAAAADHGgAA+jgAAA=="/>
                        </a:ext>
                      </a:extLst>
                    </wps:cNvSpPr>
                    <wps:spPr>
                      <a:xfrm>
                        <a:off x="0" y="0"/>
                        <a:ext cx="8826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</a:ln>
                    </wps:spPr>
                    <wps:bodyPr spcFirstLastPara="1" vertOverflow="clip" horzOverflow="clip" lIns="91440" tIns="45720" rIns="91440" bIns="4572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églalap1" o:spid="_x0000_s3073" style="position:absolute;margin-left:286.05pt;margin-top:0.05pt;width:6.95pt;height:1.60pt;z-index:251658241;mso-wrap-distance-left:9.00pt;mso-wrap-distance-top:0.00pt;mso-wrap-distance-right:9.00pt;mso-wrap-distance-bottom:0.00pt;mso-wrap-style:square" strokeweight="0.75pt" fillcolor="#ffffff" v:ext="SMDATA_14_b+nKXBMAAAAlAAAAZA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ggAAEwAAAAAAAAAAAAAAAgAAAFkWAAAAAAAAAgAAAAEAAACLAAAAIAAAAAAAAADHGgAA+jgAAA==">
              <v:fill color2="#000000" type="solid" angle="180"/>
              <w10:wrap type="square" side="largest" anchorx="text" anchory="text"/>
            </v:rect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6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5121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1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56801903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paragraph" w:styleId="para6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7">
    <w:name w:val="Foot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8" w:customStyle="1">
    <w:name w:val="Táblázattartalom"/>
    <w:qFormat/>
    <w:basedOn w:val="para0"/>
  </w:style>
  <w:style w:type="paragraph" w:styleId="para9" w:customStyle="1">
    <w:name w:val="Táblázatfejléc"/>
    <w:qFormat/>
    <w:basedOn w:val="para8"/>
    <w:pPr>
      <w:spacing/>
      <w:jc w:val="center"/>
    </w:pPr>
    <w:rPr>
      <w:b/>
    </w:rPr>
  </w:style>
  <w:style w:type="paragraph" w:styleId="para10" w:customStyle="1">
    <w:name w:val="Kerettartalom"/>
    <w:qFormat/>
    <w:basedOn w:val="para2"/>
  </w:style>
  <w:style w:type="character" w:styleId="char0" w:default="1">
    <w:name w:val="Default Paragraph Font"/>
    <w:basedOn w:val="char0"/>
  </w:style>
  <w:style w:type="character" w:styleId="char1" w:customStyle="1">
    <w:name w:val="Default Paragraph Font*"/>
  </w:style>
  <w:style w:type="character" w:styleId="char2" w:customStyle="1">
    <w:name w:val="Bekezdés alap-betűtípusa1"/>
  </w:style>
  <w:style w:type="character" w:styleId="char3">
    <w:name w:val="Page Numb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paragraph" w:styleId="para6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7">
    <w:name w:val="Foot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8" w:customStyle="1">
    <w:name w:val="Táblázattartalom"/>
    <w:qFormat/>
    <w:basedOn w:val="para0"/>
  </w:style>
  <w:style w:type="paragraph" w:styleId="para9" w:customStyle="1">
    <w:name w:val="Táblázatfejléc"/>
    <w:qFormat/>
    <w:basedOn w:val="para8"/>
    <w:pPr>
      <w:spacing/>
      <w:jc w:val="center"/>
    </w:pPr>
    <w:rPr>
      <w:b/>
    </w:rPr>
  </w:style>
  <w:style w:type="paragraph" w:styleId="para10" w:customStyle="1">
    <w:name w:val="Kerettartalom"/>
    <w:qFormat/>
    <w:basedOn w:val="para2"/>
  </w:style>
  <w:style w:type="character" w:styleId="char0" w:default="1">
    <w:name w:val="Default Paragraph Font"/>
    <w:basedOn w:val="char0"/>
  </w:style>
  <w:style w:type="character" w:styleId="char1" w:customStyle="1">
    <w:name w:val="Default Paragraph Font*"/>
  </w:style>
  <w:style w:type="character" w:styleId="char2" w:customStyle="1">
    <w:name w:val="Bekezdés alap-betűtípusa1"/>
  </w:style>
  <w:style w:type="character" w:styleId="char3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Egyszerűsített 2001</dc:title>
  <dc:subject/>
  <dc:creator>Polgármesteri Hiv. Csorvás</dc:creator>
  <cp:keywords/>
  <dc:description/>
  <cp:lastModifiedBy/>
  <cp:revision>13</cp:revision>
  <cp:lastPrinted>2012-04-14T09:20:00Z</cp:lastPrinted>
  <dcterms:created xsi:type="dcterms:W3CDTF">2018-05-19T04:32:00Z</dcterms:created>
  <dcterms:modified xsi:type="dcterms:W3CDTF">2019-05-02T12:58:23Z</dcterms:modified>
</cp:coreProperties>
</file>