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Részletes indokolás</w:t>
      </w:r>
    </w:p>
    <w:p>
      <w:pPr>
        <w: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  <w:t>Csorvás Város Önkormányzata Képviselő-testületének az önkormányzat 2018. évi zárszámadásáról szóló …./2019. (…….) önkormányzati rendelete tervezetéhez</w:t>
      </w:r>
    </w:p>
    <w:p>
      <w:r/>
    </w:p>
    <w:p>
      <w:r/>
    </w:p>
    <w:p>
      <w:r/>
    </w:p>
    <w:p>
      <w:pPr>
        <w:spacing w:after="120"/>
        <w:rPr>
          <w:b/>
        </w:rPr>
      </w:pPr>
      <w:r>
        <w:rPr>
          <w:b/>
        </w:rPr>
        <w:t>A rendelet-tervezet 1. §-ához</w:t>
      </w:r>
    </w:p>
    <w:p>
      <w:pPr>
        <w:spacing/>
        <w:jc w:val="both"/>
      </w:pPr>
      <w:r>
        <w:t xml:space="preserve">A rendelet-tervezet 1. §-a a rendelet személyi hatályát rögzíti. Az a) pontban az önállóan működő és gazdálkodó költségvetési szerveket, a b) pontban az önállóan működő költségvetési szerveket nevesíti. </w:t>
      </w:r>
    </w:p>
    <w:p>
      <w:r/>
    </w:p>
    <w:p>
      <w:pPr>
        <w:spacing w:after="120"/>
        <w:rPr>
          <w:b/>
        </w:rPr>
      </w:pPr>
      <w:r>
        <w:rPr>
          <w:b/>
        </w:rPr>
        <w:t>A rendelet-tervezet 2. §-ához</w:t>
      </w:r>
    </w:p>
    <w:p>
      <w:pPr>
        <w:spacing/>
        <w:jc w:val="both"/>
      </w:pPr>
      <w:r>
        <w:t xml:space="preserve">A rendelet-tervezet 2. § (1) bekezdése tartalmazza azt, hogy az önkormányzat bevételei 2018. évre vonatkozóan az 1. mellékletben kerültek kimutatásra. </w:t>
      </w:r>
    </w:p>
    <w:p>
      <w:pPr>
        <w:spacing w:before="120" w:after="120"/>
        <w:jc w:val="both"/>
      </w:pPr>
      <w:r>
        <w:t>A rendelet-tervezet 2. § (2) bekezdése rendelkezik arról, hogy az önkormányzat bevételei költségvetési intézményenkénti – címek, alcímek, előirányzat-csoportok és kiemelt előirányzatok szerinti – megoszlását kötelező, önként vállalt és igazgatási feladatokra bontva a rendelet 2. melléklete tartalmazza.</w:t>
      </w:r>
    </w:p>
    <w:p>
      <w:pPr>
        <w:spacing/>
        <w:jc w:val="both"/>
      </w:pPr>
      <w:r>
        <w:t>A rendelet-tervezet 2. § (3) bekezdése rendelkezik arról, hogy az önkormányzat kiadásai költségvetési intézményenkénti – címek, alcímek, előirányzat-csoportok és kiemelt előirányzatok szerinti – megoszlását kötelező, önként vállalt és igazgatási feladatokra bontva a rendelet 3. melléklete tartalmazza.</w:t>
      </w:r>
    </w:p>
    <w:p>
      <w:pPr>
        <w:spacing/>
        <w:jc w:val="both"/>
      </w:pPr>
      <w:r/>
    </w:p>
    <w:p>
      <w:pPr>
        <w:spacing w:after="120"/>
        <w:rPr>
          <w:b/>
        </w:rPr>
      </w:pPr>
      <w:r>
        <w:rPr>
          <w:b/>
        </w:rPr>
        <w:t>A rendelet-tervezet 3. §-ához</w:t>
      </w:r>
    </w:p>
    <w:p>
      <w:pPr>
        <w:spacing/>
        <w:jc w:val="both"/>
      </w:pPr>
      <w:r>
        <w:t>A rendelet-tervezet 3. §-a kimondja, hogy az önkormányzat költségvetési szerveinek 2018. évi mérleg szerinti eredményét, és maradványát a rendelet 4. melléklete tartalmazza.</w:t>
      </w:r>
    </w:p>
    <w:p>
      <w:pPr>
        <w:spacing/>
        <w:jc w:val="both"/>
      </w:pPr>
      <w:r/>
    </w:p>
    <w:p>
      <w:pPr>
        <w:spacing w:after="120"/>
        <w:rPr>
          <w:b/>
        </w:rPr>
      </w:pPr>
      <w:r>
        <w:rPr>
          <w:b/>
        </w:rPr>
        <w:t>A rendelet-tervezet 4. §-ához</w:t>
      </w:r>
    </w:p>
    <w:p>
      <w:pPr>
        <w:spacing/>
        <w:jc w:val="both"/>
      </w:pPr>
      <w:r>
        <w:t>A rendelet-tervezet 4. §-a rendelkezik a következőkről:</w:t>
      </w:r>
    </w:p>
    <w:p>
      <w:pPr>
        <w:spacing/>
        <w:jc w:val="both"/>
      </w:pPr>
      <w:r>
        <w:t>- az Önkormányzat 2018. évi bevételeit kormányzati funkciónként a rendelet 5. melléklete,</w:t>
      </w:r>
    </w:p>
    <w:p>
      <w:pPr>
        <w:spacing/>
        <w:jc w:val="both"/>
      </w:pPr>
      <w:r>
        <w:t>- az Önkormányzat 2018. évi kiadásait kormányzati funkciónként a rendelet 6. melléklete,</w:t>
      </w:r>
    </w:p>
    <w:p>
      <w:pPr>
        <w:spacing/>
        <w:jc w:val="both"/>
      </w:pPr>
      <w:r>
        <w:t>- a Polgármesteri Hivatal 2018. évi bevételeit és kiadásait kormányzati funkciónként a rendelet 7. melléklete,</w:t>
      </w:r>
    </w:p>
    <w:p>
      <w:pPr>
        <w:spacing/>
        <w:jc w:val="both"/>
      </w:pPr>
      <w:r>
        <w:t>- az Óvoda és Bölcsőde 2018. évi bevételeit és kiadásait kormányzati funkciónként a rendelet 8. melléklete,</w:t>
      </w:r>
    </w:p>
    <w:p>
      <w:pPr>
        <w:spacing/>
        <w:jc w:val="both"/>
      </w:pPr>
      <w:r>
        <w:t xml:space="preserve">- az Egyesített Szociális Intézmény 2018. évi bevételeit és kiadásait kormányzati funkciónként a rendelet 9. melléklete </w:t>
      </w:r>
    </w:p>
    <w:p>
      <w:pPr>
        <w:spacing/>
        <w:jc w:val="both"/>
      </w:pPr>
      <w:r>
        <w:t>tartalmazza.</w:t>
      </w:r>
    </w:p>
    <w:p>
      <w:pPr>
        <w:spacing w:after="120"/>
        <w:rPr>
          <w:b/>
        </w:rPr>
      </w:pPr>
      <w:r>
        <w:rPr>
          <w:b/>
        </w:rPr>
        <w:t>A rendelet-tervezet 5. §-ához</w:t>
      </w:r>
    </w:p>
    <w:p>
      <w:pPr>
        <w:spacing w:after="120"/>
        <w:jc w:val="both"/>
      </w:pPr>
      <w:r>
        <w:t>A rendelet-tervezet 5. §-a szerint az Önkormányzat 2018. évi működési és felhalmozási célú támogatásai, valamint pénzeszközátadásai, továbbá a közvetett támogatások kimutatását a rendelet 10. melléklete tartalmazza.</w:t>
      </w:r>
    </w:p>
    <w:p>
      <w:pPr>
        <w:spacing w:after="120"/>
        <w:rPr>
          <w:b/>
        </w:rPr>
      </w:pPr>
      <w:r>
        <w:rPr>
          <w:b/>
        </w:rPr>
        <w:t>A rendelet-tervezet 6. §-ához</w:t>
      </w:r>
    </w:p>
    <w:p>
      <w:pPr>
        <w:spacing w:after="120"/>
        <w:jc w:val="both"/>
      </w:pPr>
      <w:r>
        <w:t>A rendelet-tervezet 6. §-a szerint az Önkormányzat költségvetési szervei felújítási kiadásainak célonkénti, valamint felhalmozási kiadásainak feladatonkénti kimutatását a rendelet 11. melléklete tartalmazza.</w:t>
      </w:r>
    </w:p>
    <w:p>
      <w:pPr>
        <w:spacing w:after="120"/>
        <w:rPr>
          <w:b/>
        </w:rPr>
      </w:pPr>
      <w:r>
        <w:rPr>
          <w:b/>
        </w:rPr>
        <w:t>A rendelet-tervezet 7. §-ához</w:t>
      </w:r>
    </w:p>
    <w:p>
      <w:pPr>
        <w:spacing w:after="120"/>
        <w:jc w:val="both"/>
      </w:pPr>
      <w:r>
        <w:t>A rendelet-tervezet 7. §-a szerint az Önkormányzat könyvviteli mérlegét a rendelet 12. melléklete, a bevételek és a kiadások mérlegét a rendelet 13. melléklete tartalmazza.</w:t>
      </w:r>
    </w:p>
    <w:p>
      <w:pPr>
        <w:spacing w:after="120"/>
        <w:rPr>
          <w:b/>
        </w:rPr>
      </w:pPr>
      <w:r>
        <w:rPr>
          <w:b/>
        </w:rPr>
        <w:t>A rendelet-tervezet 8. §-ához</w:t>
      </w:r>
    </w:p>
    <w:p>
      <w:pPr>
        <w:spacing w:after="120"/>
        <w:jc w:val="both"/>
      </w:pPr>
      <w:r>
        <w:t>A rendelet-tervezet 8. §-a szerint az Önkormányzat 2018. évi egyszerűsített mérlegét a rendelet 14. melléklete, a 2018. évi egyszerűsített pénzforgalmi jelentését a rendelet 15. melléklete, a 2018. évi egyszerűsített mérleg szerinti eredményének kimutatását a rendelet 16. melléklete tartalmazza.</w:t>
      </w:r>
    </w:p>
    <w:p>
      <w:pPr>
        <w:spacing w:after="120"/>
        <w:rPr>
          <w:b/>
        </w:rPr>
      </w:pPr>
      <w:r>
        <w:rPr>
          <w:b/>
        </w:rPr>
        <w:t>A rendelet-tervezet 9. §-ához</w:t>
      </w:r>
    </w:p>
    <w:p>
      <w:pPr>
        <w:spacing w:after="120"/>
        <w:jc w:val="both"/>
      </w:pPr>
      <w:r>
        <w:t>A rendelet-tervezet 9. §-a szerint az Önkormányzat és költségvetési szervei 2018. évi vagyonkimutatását a rendelet 17. melléklete tartalmazza.</w:t>
      </w:r>
    </w:p>
    <w:p>
      <w:pPr>
        <w:spacing w:after="120"/>
        <w:rPr>
          <w:b/>
        </w:rPr>
      </w:pPr>
      <w:r>
        <w:rPr>
          <w:b/>
        </w:rPr>
        <w:t>A rendelet-tervezet 10. §-ához</w:t>
      </w:r>
    </w:p>
    <w:p>
      <w:pPr>
        <w:spacing/>
        <w:jc w:val="both"/>
      </w:pPr>
      <w:r>
        <w:t>A rendelet-tervezet 10. § (1) bekezdésében szerepel az Önkormányzat 2018. évi költségvetési beszámolójában kimutatott foglalkoztatottak és a közfoglalkoztatottak létszáma, illetve a települési képviselők, valamint a nem települési képviselő külső bizottsági tagok létszáma.</w:t>
      </w:r>
    </w:p>
    <w:p>
      <w:pPr>
        <w:spacing w:after="120"/>
        <w:jc w:val="both"/>
      </w:pPr>
      <w:r>
        <w:t>A rendelet-tervezet 10. § (2) bekezdése szerint az Önkormányzat költségvetési szervei által foglalkoztatottak 2018. évi létszámát a rendelet 18. melléklete tartalmazza.</w:t>
      </w:r>
    </w:p>
    <w:p>
      <w:pPr>
        <w:spacing w:after="120"/>
        <w:rPr>
          <w:b/>
        </w:rPr>
      </w:pPr>
      <w:r>
        <w:rPr>
          <w:b/>
        </w:rPr>
        <w:t>A rendelet-tervezet 11. §-ához</w:t>
      </w:r>
    </w:p>
    <w:p>
      <w:pPr>
        <w:spacing w:after="120"/>
        <w:jc w:val="both"/>
      </w:pPr>
      <w:r>
        <w:t>A rendelet-tervezet 11. §-a szerint az Önkormányzat által visszafizetendő központi költségvetési támogatást az Önkormányzat költségvetési beszámolója tartalmazza. Az Önkormányzat központi költségvetési támogatásainak 2018. évi elszámolását a rendelet 19. melléklete tartalmazza.</w:t>
      </w:r>
    </w:p>
    <w:p>
      <w:pPr>
        <w:spacing w:after="120"/>
        <w:rPr>
          <w:b/>
        </w:rPr>
      </w:pPr>
      <w:r>
        <w:rPr>
          <w:b/>
        </w:rPr>
        <w:t>A rendelet-tervezet 12. §-ához</w:t>
      </w:r>
    </w:p>
    <w:p>
      <w:pPr>
        <w:spacing w:after="120"/>
        <w:jc w:val="both"/>
      </w:pPr>
      <w:r>
        <w:t>A rendelet-tervezet 12. §-a szerint az Önkormányzat 2018. december 31-én fennálló, a könyvviteli mérlegben kimutatott kötelezettségeinek állományát a rendelet 20. melléklete tartalmazza.</w:t>
      </w:r>
    </w:p>
    <w:p>
      <w:pPr>
        <w:spacing w:after="120"/>
        <w:rPr>
          <w:b/>
        </w:rPr>
      </w:pPr>
      <w:r>
        <w:rPr>
          <w:b/>
        </w:rPr>
        <w:t>A rendelet-tervezet 13. §-ához</w:t>
      </w:r>
    </w:p>
    <w:p>
      <w:pPr>
        <w:spacing w:after="120"/>
        <w:jc w:val="both"/>
      </w:pPr>
      <w:r>
        <w:t>A rendelet-tervezet 13. §-a szerint az Önkormányzat 2018. évi közvetett támogatásainak kimutatását a rendelet 21. melléklete tartalmazza.</w:t>
      </w:r>
    </w:p>
    <w:p>
      <w:pPr>
        <w:spacing w:after="120"/>
        <w:rPr>
          <w:b/>
        </w:rPr>
      </w:pPr>
      <w:r>
        <w:rPr>
          <w:b/>
        </w:rPr>
        <w:t>A rendelet-tervezet 14. §-ához</w:t>
      </w:r>
    </w:p>
    <w:p>
      <w:pPr>
        <w:spacing w:after="120"/>
      </w:pPr>
      <w:r>
        <w:t>A rendelet-tervezet 14. §-a rendelkezik a rendelet hatályba lépéséről.</w:t>
      </w:r>
    </w:p>
    <w:p>
      <w:pPr>
        <w:spacing w:before="120" w:after="120"/>
        <w:jc w:val="both"/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headerReference w:type="first" r:id="rId9"/>
      <w:footerReference w:type="first" r:id="rId10"/>
      <w:type w:val="nextPage"/>
      <w:pgSz w:h="16838" w:w="11906"/>
      <w:pgMar w:left="1417" w:top="1417" w:right="1417" w:bottom="1417" w:header="708"/>
      <w:paperSrc w:first="0" w:other="0"/>
      <w:pgNumType w:fmt="decimal"/>
      <w:titlePg/>
      <w:tmGutter w:val="3"/>
      <w:mirrorMargins w:val="0"/>
      <w:tmSection w:h="-2">
        <w:tmHeader w:id="0" w:h="0" edge="708" text="0">
          <w:shd w:val="none"/>
        </w:tmHead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egoe UI">
    <w:panose1 w:val="020B0502040204020203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0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4300" cy="175260"/>
              <wp:effectExtent l="0" t="0" r="0" b="0"/>
              <wp:wrapSquare wrapText="bothSides"/>
              <wp:docPr id="1" name="Szövegdobo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4_ctbKXB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CCLgAAxkE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Q4gAAQAAAAAAAAAACAAAAAQAAAAAAAAAAAAAAAgAAAAEAAAC0AAAAFAEAAAAAAADnFgAAxQIAAA=="/>
                        </a:ext>
                      </a:extLst>
                    </wps:cNvSpPr>
                    <wps:spPr>
                      <a:xfrm>
                        <a:off x="0" y="0"/>
                        <a:ext cx="114300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para1"/>
                            <w:rPr>
                              <w:rStyle w:val="char1"/>
                            </w:rPr>
                          </w:pPr>
                          <w:r>
                            <w:rPr>
                              <w:rStyle w:val="char1"/>
                            </w:rPr>
                          </w:r>
                          <w:r>
                            <w:rPr>
                              <w:rStyle w:val="char1"/>
                            </w:rPr>
                            <w:fldChar w:fldCharType="begin"/>
                            <w:instrText xml:space="preserve"> PAGE </w:instrText>
                            <w:fldChar w:fldCharType="separate"/>
                            <w:t>2</w:t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path gradientshapeok="t" o:connecttype="rect"/>
            </v:shapetype>
            <v:shape id="Szövegdoboz1" o:spid="_x0000_s2049" type="#_x0000_t202" style="position:absolute;mso-position-horizontal:center;margin-top:0.05pt;mso-position-horizontal-relative:margin;width:9.00pt;height:13.80pt;z-index:251658241;mso-wrap-distance-left:0.00pt;mso-wrap-distance-top:0.00pt;mso-wrap-distance-right:0.00pt;mso-wrap-distance-bottom:0.00pt;mso-wrap-style:none" stroked="f" filled="f" v:ext="SMDATA_14_ctbKXB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CCLgAAxkE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Q4gAAQAAAAAAAAAACAAAAAQAAAAAAAAAAAAAAAgAAAAEAAAC0AAAAFAEAAAAAAADnFgAAxQIAAA==" o:insetmode="custom">
              <w10:wrap type="square" anchorx="margin" anchory="text"/>
              <v:textbox style="mso-fit-shape-to-text:t" inset="0.0pt,0.0pt,0.0pt,0.0pt">
                <w:txbxContent>
                  <w:p>
                    <w:pPr>
                      <w:pStyle w:val="para1"/>
                      <w:rPr>
                        <w:rStyle w:val="char1"/>
                      </w:rPr>
                    </w:pPr>
                    <w:r>
                      <w:rPr>
                        <w:rStyle w:val="char1"/>
                      </w:rPr>
                    </w:r>
                    <w:r>
                      <w:rPr>
                        <w:rStyle w:val="char1"/>
                      </w:rPr>
                      <w:fldChar w:fldCharType="begin"/>
                      <w:instrText xml:space="preserve"> PAGE </w:instrText>
                      <w:fldChar w:fldCharType="separate"/>
                      <w:t>2</w:t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5121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0"/>
    <w:tmLastPosCaret>
      <w:tmLastPosPgfIdx w:val="44"/>
      <w:tmLastPosIdx w:val="56"/>
    </w:tmLastPosCaret>
    <w:tmLastPosAnchor>
      <w:tmLastPosPgfIdx w:val="0"/>
      <w:tmLastPosIdx w:val="0"/>
    </w:tmLastPosAnchor>
    <w:tmLastPosTblRect w:left="0" w:top="0" w:right="0" w:bottom="0"/>
  </w:tmLastPos>
  <w:tmAppRevision w:date="1556797042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hu-hu" w:bidi="ar-sa"/>
    </w:rPr>
  </w:style>
  <w:style w:type="paragraph" w:styleId="para1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2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  <w:basedOn w:val="char0"/>
  </w:style>
  <w:style w:type="character" w:styleId="char1">
    <w:name w:val="Page Number"/>
  </w:style>
  <w:style w:type="character" w:styleId="char2" w:customStyle="1">
    <w:name w:val=" Char Char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hu-hu" w:bidi="ar-sa"/>
    </w:rPr>
  </w:style>
  <w:style w:type="paragraph" w:styleId="para1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2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  <w:basedOn w:val="char0"/>
  </w:style>
  <w:style w:type="character" w:styleId="char1">
    <w:name w:val="Page Number"/>
  </w:style>
  <w:style w:type="character" w:styleId="char2" w:customStyle="1">
    <w:name w:val=" Char Char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Részletes indokolás</dc:title>
  <dc:subject/>
  <dc:creator>Zakalne</dc:creator>
  <cp:keywords/>
  <dc:description/>
  <cp:lastModifiedBy/>
  <cp:revision>6</cp:revision>
  <cp:lastPrinted>2018-03-12T15:12:00Z</cp:lastPrinted>
  <dcterms:created xsi:type="dcterms:W3CDTF">2018-05-21T16:08:00Z</dcterms:created>
  <dcterms:modified xsi:type="dcterms:W3CDTF">2019-05-02T11:37:22Z</dcterms:modified>
</cp:coreProperties>
</file>